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25F7" w14:textId="77777777" w:rsid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55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SINDROMA NEUROLOGIS LONG-COVID; </w:t>
      </w:r>
    </w:p>
    <w:p w14:paraId="30FE830A" w14:textId="622D58AF" w:rsidR="00280926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55A0">
        <w:rPr>
          <w:rFonts w:ascii="Times New Roman" w:hAnsi="Times New Roman" w:cs="Times New Roman"/>
          <w:b/>
          <w:sz w:val="28"/>
          <w:szCs w:val="28"/>
          <w:lang w:val="en-US"/>
        </w:rPr>
        <w:t>APA DAN BAGAIMANA MENANGANINYA</w:t>
      </w:r>
    </w:p>
    <w:p w14:paraId="00B01742" w14:textId="77777777" w:rsidR="00284A99" w:rsidRPr="00092940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EF5E768" w14:textId="7E78DEBE" w:rsidR="000A3B4A" w:rsidRDefault="00FE55A0" w:rsidP="00284A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4A99">
        <w:rPr>
          <w:rFonts w:ascii="Times New Roman" w:hAnsi="Times New Roman" w:cs="Times New Roman"/>
          <w:bCs/>
          <w:sz w:val="24"/>
          <w:szCs w:val="24"/>
        </w:rPr>
        <w:t xml:space="preserve">Andika </w:t>
      </w:r>
      <w:proofErr w:type="spellStart"/>
      <w:r w:rsidRPr="00284A99">
        <w:rPr>
          <w:rFonts w:ascii="Times New Roman" w:hAnsi="Times New Roman" w:cs="Times New Roman"/>
          <w:bCs/>
          <w:sz w:val="24"/>
          <w:szCs w:val="24"/>
        </w:rPr>
        <w:t>Okparasta</w:t>
      </w:r>
      <w:proofErr w:type="spellEnd"/>
      <w:r w:rsidRPr="00284A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061FD3" w14:textId="77777777" w:rsidR="00284A99" w:rsidRP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689E6C9" w14:textId="1C3220FC" w:rsidR="00092940" w:rsidRDefault="008F2488" w:rsidP="0028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7B5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Divisi </w:t>
      </w:r>
      <w:proofErr w:type="spellStart"/>
      <w:r w:rsidR="00FE55A0">
        <w:rPr>
          <w:rFonts w:ascii="Times New Roman" w:hAnsi="Times New Roman" w:cs="Times New Roman"/>
          <w:sz w:val="20"/>
          <w:szCs w:val="20"/>
          <w:lang w:val="en-US"/>
        </w:rPr>
        <w:t>Neuroinfeksi-Imunologi</w:t>
      </w:r>
      <w:proofErr w:type="spellEnd"/>
      <w:r w:rsidR="0009294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92940" w:rsidRPr="0009294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E55A0">
        <w:rPr>
          <w:rFonts w:ascii="Times New Roman" w:hAnsi="Times New Roman" w:cs="Times New Roman"/>
          <w:sz w:val="20"/>
          <w:szCs w:val="20"/>
          <w:lang w:val="en-US"/>
        </w:rPr>
        <w:t>Ilmu</w:t>
      </w:r>
      <w:proofErr w:type="spellEnd"/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sz w:val="20"/>
          <w:szCs w:val="20"/>
          <w:lang w:val="en-US"/>
        </w:rPr>
        <w:t>Penyakit</w:t>
      </w:r>
      <w:proofErr w:type="spellEnd"/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sz w:val="20"/>
          <w:szCs w:val="20"/>
          <w:lang w:val="en-US"/>
        </w:rPr>
        <w:t>Syaraf</w:t>
      </w:r>
      <w:proofErr w:type="spellEnd"/>
      <w:r w:rsidR="00092940" w:rsidRPr="00092940">
        <w:rPr>
          <w:rFonts w:ascii="Times New Roman" w:hAnsi="Times New Roman" w:cs="Times New Roman"/>
          <w:sz w:val="20"/>
          <w:szCs w:val="20"/>
        </w:rPr>
        <w:t>, Fakultas</w:t>
      </w:r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sz w:val="20"/>
          <w:szCs w:val="20"/>
          <w:lang w:val="en-US"/>
        </w:rPr>
        <w:t>Kedokteran</w:t>
      </w:r>
      <w:proofErr w:type="spellEnd"/>
      <w:r w:rsidR="00092940" w:rsidRPr="00092940">
        <w:rPr>
          <w:rFonts w:ascii="Times New Roman" w:hAnsi="Times New Roman" w:cs="Times New Roman"/>
          <w:sz w:val="20"/>
          <w:szCs w:val="20"/>
        </w:rPr>
        <w:t>, Universitas</w:t>
      </w:r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 Sriwijaya</w:t>
      </w:r>
      <w:r w:rsidR="00092940" w:rsidRPr="00092940">
        <w:rPr>
          <w:rFonts w:ascii="Times New Roman" w:hAnsi="Times New Roman" w:cs="Times New Roman"/>
          <w:sz w:val="20"/>
          <w:szCs w:val="20"/>
        </w:rPr>
        <w:t>,</w:t>
      </w:r>
      <w:r w:rsidR="00FE55A0">
        <w:rPr>
          <w:rFonts w:ascii="Times New Roman" w:hAnsi="Times New Roman" w:cs="Times New Roman"/>
          <w:sz w:val="20"/>
          <w:szCs w:val="20"/>
          <w:lang w:val="en-US"/>
        </w:rPr>
        <w:t xml:space="preserve"> Palembang</w:t>
      </w:r>
      <w:r w:rsidR="00092940" w:rsidRPr="007917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828D6E" w14:textId="1A0EA364" w:rsidR="005D4DED" w:rsidRPr="00284A99" w:rsidRDefault="007F03FF" w:rsidP="00284A9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84A99">
        <w:rPr>
          <w:rFonts w:ascii="Times New Roman" w:hAnsi="Times New Roman" w:cs="Times New Roman"/>
          <w:bCs/>
          <w:sz w:val="20"/>
          <w:szCs w:val="20"/>
        </w:rPr>
        <w:t xml:space="preserve">Email : </w:t>
      </w:r>
      <w:proofErr w:type="spellStart"/>
      <w:r w:rsidR="00FE55A0" w:rsidRPr="00284A99">
        <w:rPr>
          <w:rFonts w:ascii="Times New Roman" w:hAnsi="Times New Roman" w:cs="Times New Roman"/>
          <w:bCs/>
          <w:sz w:val="20"/>
          <w:szCs w:val="20"/>
          <w:lang w:val="en-US"/>
        </w:rPr>
        <w:t>andikaazizah</w:t>
      </w:r>
      <w:proofErr w:type="spellEnd"/>
      <w:r w:rsidR="00092940" w:rsidRPr="00284A99">
        <w:rPr>
          <w:rFonts w:ascii="Times New Roman" w:hAnsi="Times New Roman" w:cs="Times New Roman"/>
          <w:bCs/>
          <w:sz w:val="20"/>
          <w:szCs w:val="20"/>
        </w:rPr>
        <w:t>@</w:t>
      </w:r>
      <w:proofErr w:type="spellStart"/>
      <w:r w:rsidR="00FE55A0" w:rsidRPr="00284A99">
        <w:rPr>
          <w:rFonts w:ascii="Times New Roman" w:hAnsi="Times New Roman" w:cs="Times New Roman"/>
          <w:bCs/>
          <w:sz w:val="20"/>
          <w:szCs w:val="20"/>
          <w:lang w:val="en-US"/>
        </w:rPr>
        <w:t>gmail</w:t>
      </w:r>
      <w:proofErr w:type="spellEnd"/>
      <w:r w:rsidR="00092940" w:rsidRPr="00284A9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092940" w:rsidRPr="00284A99">
        <w:rPr>
          <w:rFonts w:ascii="Times New Roman" w:hAnsi="Times New Roman" w:cs="Times New Roman"/>
          <w:bCs/>
          <w:sz w:val="20"/>
          <w:szCs w:val="20"/>
        </w:rPr>
        <w:t>com</w:t>
      </w:r>
      <w:proofErr w:type="spellEnd"/>
    </w:p>
    <w:p w14:paraId="6C7884E8" w14:textId="77777777" w:rsidR="007F03FF" w:rsidRDefault="007F03FF" w:rsidP="0028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E9004" w14:textId="6546A34F" w:rsid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A99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61F3FF70" w14:textId="77777777" w:rsidR="00284A99" w:rsidRP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7A566" w14:textId="77777777" w:rsidR="00284A99" w:rsidRPr="000B0F0B" w:rsidRDefault="00284A99" w:rsidP="00284A9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‘Long-COVID’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dialami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sembuh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COVID-19. ‘Long-COVID’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ringan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sedang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berat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dan juga pada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kasus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asimptomatik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Sindrom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‘long-COVID’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terlibat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pada ‘long-COVID’,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termasuk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timbul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meliputi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pusat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tepi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mekanisme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mendasari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patofisiologi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terjadinya’long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-COVID’,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mekanisme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diawali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oleh proses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inflamasi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awal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infeksi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Belum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ada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panduan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52526">
        <w:rPr>
          <w:rFonts w:ascii="Times New Roman" w:hAnsi="Times New Roman" w:cs="Times New Roman"/>
          <w:sz w:val="20"/>
          <w:szCs w:val="20"/>
          <w:lang w:val="en-US"/>
        </w:rPr>
        <w:t>atalaksana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sindroma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neurologis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long-COVID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sehingga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tatalaksana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sindroma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neurologis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long-COVID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tergantung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dari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gejala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 xml:space="preserve"> yang </w:t>
      </w:r>
      <w:proofErr w:type="spellStart"/>
      <w:r w:rsidRPr="00052526">
        <w:rPr>
          <w:rFonts w:ascii="Times New Roman" w:hAnsi="Times New Roman" w:cs="Times New Roman"/>
          <w:sz w:val="20"/>
          <w:szCs w:val="20"/>
          <w:lang w:val="en-US"/>
        </w:rPr>
        <w:t>ada</w:t>
      </w:r>
      <w:proofErr w:type="spellEnd"/>
      <w:r w:rsidRPr="0005252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BFA2D59" w14:textId="77777777" w:rsidR="00284A99" w:rsidRDefault="00284A99" w:rsidP="00284A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3493B13" w14:textId="77777777" w:rsidR="00284A99" w:rsidRDefault="00284A99" w:rsidP="00284A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63367B">
        <w:rPr>
          <w:rFonts w:ascii="Times New Roman" w:hAnsi="Times New Roman" w:cs="Times New Roman"/>
          <w:b/>
          <w:sz w:val="20"/>
          <w:szCs w:val="20"/>
        </w:rPr>
        <w:t xml:space="preserve">Kata kunci 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long-COVID, post-COVID, SARS-CoV2</w:t>
      </w:r>
    </w:p>
    <w:p w14:paraId="0A5235FF" w14:textId="77777777" w:rsidR="00284A99" w:rsidRDefault="00284A99" w:rsidP="00284A9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68FB137" w14:textId="0EEE3C33" w:rsidR="000A3B4A" w:rsidRDefault="000A3B4A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E3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4882BB8" w14:textId="77777777" w:rsid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B9295" w14:textId="524642A3" w:rsidR="007F03FF" w:rsidRPr="0063367B" w:rsidRDefault="00B82EDA" w:rsidP="00284A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2EDA">
        <w:rPr>
          <w:rFonts w:ascii="Times New Roman" w:hAnsi="Times New Roman" w:cs="Times New Roman"/>
          <w:sz w:val="20"/>
          <w:szCs w:val="20"/>
        </w:rPr>
        <w:t xml:space="preserve">Long-COVID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disorder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often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recovering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COVID-19. Long-COVID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occur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mild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moderate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severe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COVID-19, as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as in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asymptomatic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. The long-COVID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syndrome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last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longer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weeks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variety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in long-COVID,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nervous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peripheral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nervous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mechanisms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underlie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pathophysiology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long-COVID,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mechanism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initiated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inflammatory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occurs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infection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long-COVID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neurological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syndrome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long-COVID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neurological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syndrome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depends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on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existing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2EDA">
        <w:rPr>
          <w:rFonts w:ascii="Times New Roman" w:hAnsi="Times New Roman" w:cs="Times New Roman"/>
          <w:sz w:val="20"/>
          <w:szCs w:val="20"/>
        </w:rPr>
        <w:t>symptoms</w:t>
      </w:r>
      <w:proofErr w:type="spellEnd"/>
      <w:r w:rsidRPr="00B82EDA">
        <w:rPr>
          <w:rFonts w:ascii="Times New Roman" w:hAnsi="Times New Roman" w:cs="Times New Roman"/>
          <w:sz w:val="20"/>
          <w:szCs w:val="20"/>
        </w:rPr>
        <w:t>.</w:t>
      </w:r>
    </w:p>
    <w:p w14:paraId="07612967" w14:textId="77777777" w:rsidR="00284A99" w:rsidRDefault="00284A99" w:rsidP="00284A9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1EB1DE" w14:textId="3D4CC185" w:rsidR="007F03FF" w:rsidRPr="00284A99" w:rsidRDefault="007F03FF" w:rsidP="00284A9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367B">
        <w:rPr>
          <w:rFonts w:ascii="Times New Roman" w:hAnsi="Times New Roman" w:cs="Times New Roman"/>
          <w:b/>
          <w:sz w:val="20"/>
          <w:szCs w:val="20"/>
        </w:rPr>
        <w:t>Key</w:t>
      </w:r>
      <w:proofErr w:type="spellEnd"/>
      <w:r w:rsidRPr="006336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367B">
        <w:rPr>
          <w:rFonts w:ascii="Times New Roman" w:hAnsi="Times New Roman" w:cs="Times New Roman"/>
          <w:b/>
          <w:sz w:val="20"/>
          <w:szCs w:val="20"/>
        </w:rPr>
        <w:t>words</w:t>
      </w:r>
      <w:proofErr w:type="spellEnd"/>
      <w:r w:rsidRPr="0063367B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82EDA">
        <w:rPr>
          <w:rFonts w:ascii="Times New Roman" w:hAnsi="Times New Roman" w:cs="Times New Roman"/>
          <w:b/>
          <w:sz w:val="20"/>
          <w:szCs w:val="20"/>
          <w:lang w:val="en-US"/>
        </w:rPr>
        <w:t>long-COVID, post-COVID, SARS-CoV2</w:t>
      </w:r>
    </w:p>
    <w:p w14:paraId="189A5AB5" w14:textId="77777777" w:rsidR="007F03FF" w:rsidRPr="007F03FF" w:rsidRDefault="007F03FF" w:rsidP="0028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6890C" w14:textId="77777777" w:rsidR="000A3B4A" w:rsidRPr="00F420E3" w:rsidRDefault="000A3B4A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E3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01CD7989" w14:textId="77777777" w:rsidR="00284A99" w:rsidRDefault="00284A99" w:rsidP="00284A99">
      <w:pPr>
        <w:pStyle w:val="ListParagraph"/>
        <w:ind w:left="0"/>
        <w:jc w:val="both"/>
      </w:pPr>
    </w:p>
    <w:p w14:paraId="2694B6E9" w14:textId="0C3C5675" w:rsidR="00DB54A4" w:rsidRDefault="00FE55A0" w:rsidP="00284A99">
      <w:pPr>
        <w:pStyle w:val="ListParagraph"/>
        <w:ind w:left="0"/>
        <w:jc w:val="both"/>
      </w:pPr>
      <w:r w:rsidRPr="00FE55A0">
        <w:t xml:space="preserve">Pada </w:t>
      </w:r>
      <w:proofErr w:type="spellStart"/>
      <w:r w:rsidRPr="00FE55A0">
        <w:t>awal</w:t>
      </w:r>
      <w:proofErr w:type="spellEnd"/>
      <w:r w:rsidRPr="00FE55A0">
        <w:t xml:space="preserve"> </w:t>
      </w:r>
      <w:proofErr w:type="spellStart"/>
      <w:r w:rsidRPr="00FE55A0">
        <w:t>pandemi</w:t>
      </w:r>
      <w:proofErr w:type="spellEnd"/>
      <w:r w:rsidRPr="00FE55A0">
        <w:t xml:space="preserve"> COVID-19, </w:t>
      </w:r>
      <w:proofErr w:type="spellStart"/>
      <w:r w:rsidRPr="00FE55A0">
        <w:t>fokus</w:t>
      </w:r>
      <w:proofErr w:type="spellEnd"/>
      <w:r w:rsidRPr="00FE55A0">
        <w:t xml:space="preserve"> </w:t>
      </w:r>
      <w:proofErr w:type="spellStart"/>
      <w:r w:rsidRPr="00FE55A0">
        <w:t>pertama</w:t>
      </w:r>
      <w:proofErr w:type="spellEnd"/>
      <w:r w:rsidRPr="00FE55A0">
        <w:t xml:space="preserve"> </w:t>
      </w:r>
      <w:proofErr w:type="spellStart"/>
      <w:r w:rsidRPr="00FE55A0">
        <w:t>penanganan</w:t>
      </w:r>
      <w:proofErr w:type="spellEnd"/>
      <w:r w:rsidRPr="00FE55A0">
        <w:t xml:space="preserve"> </w:t>
      </w:r>
      <w:proofErr w:type="spellStart"/>
      <w:r w:rsidRPr="00FE55A0">
        <w:t>kesehatan</w:t>
      </w:r>
      <w:proofErr w:type="spellEnd"/>
      <w:r w:rsidRPr="00FE55A0">
        <w:t xml:space="preserve"> </w:t>
      </w:r>
      <w:proofErr w:type="spellStart"/>
      <w:r w:rsidRPr="00FE55A0">
        <w:t>ditujukan</w:t>
      </w:r>
      <w:proofErr w:type="spellEnd"/>
      <w:r w:rsidRPr="00FE55A0">
        <w:t xml:space="preserve"> pada </w:t>
      </w:r>
      <w:proofErr w:type="spellStart"/>
      <w:r w:rsidRPr="00FE55A0">
        <w:t>pasien</w:t>
      </w:r>
      <w:proofErr w:type="spellEnd"/>
      <w:r w:rsidRPr="00FE55A0">
        <w:t xml:space="preserve"> COVID-19 </w:t>
      </w:r>
      <w:proofErr w:type="spellStart"/>
      <w:r w:rsidRPr="00FE55A0">
        <w:t>dengan</w:t>
      </w:r>
      <w:proofErr w:type="spellEnd"/>
      <w:r w:rsidRPr="00FE55A0">
        <w:t xml:space="preserve"> </w:t>
      </w:r>
      <w:proofErr w:type="spellStart"/>
      <w:r w:rsidRPr="00FE55A0">
        <w:t>penyakit</w:t>
      </w:r>
      <w:proofErr w:type="spellEnd"/>
      <w:r w:rsidRPr="00FE55A0">
        <w:t xml:space="preserve"> </w:t>
      </w:r>
      <w:proofErr w:type="spellStart"/>
      <w:r w:rsidRPr="00FE55A0">
        <w:t>parah</w:t>
      </w:r>
      <w:proofErr w:type="spellEnd"/>
      <w:r w:rsidRPr="00FE55A0">
        <w:t xml:space="preserve"> yang </w:t>
      </w:r>
      <w:proofErr w:type="spellStart"/>
      <w:r w:rsidRPr="00FE55A0">
        <w:t>membutuhkan</w:t>
      </w:r>
      <w:proofErr w:type="spellEnd"/>
      <w:r w:rsidRPr="00FE55A0">
        <w:t xml:space="preserve"> </w:t>
      </w:r>
      <w:proofErr w:type="spellStart"/>
      <w:r w:rsidRPr="00FE55A0">
        <w:t>prioritas</w:t>
      </w:r>
      <w:proofErr w:type="spellEnd"/>
      <w:r w:rsidRPr="00FE55A0">
        <w:t xml:space="preserve"> </w:t>
      </w:r>
      <w:proofErr w:type="spellStart"/>
      <w:r w:rsidRPr="00FE55A0">
        <w:t>sumber</w:t>
      </w:r>
      <w:proofErr w:type="spellEnd"/>
      <w:r w:rsidRPr="00FE55A0">
        <w:t xml:space="preserve"> </w:t>
      </w:r>
      <w:proofErr w:type="spellStart"/>
      <w:r w:rsidRPr="00FE55A0">
        <w:t>daya</w:t>
      </w:r>
      <w:proofErr w:type="spellEnd"/>
      <w:r w:rsidRPr="00FE55A0">
        <w:t xml:space="preserve"> yang </w:t>
      </w:r>
      <w:proofErr w:type="spellStart"/>
      <w:r w:rsidRPr="00FE55A0">
        <w:t>berpotensi</w:t>
      </w:r>
      <w:proofErr w:type="spellEnd"/>
      <w:r w:rsidRPr="00FE55A0">
        <w:t xml:space="preserve"> </w:t>
      </w:r>
      <w:proofErr w:type="spellStart"/>
      <w:r w:rsidRPr="00FE55A0">
        <w:t>langka</w:t>
      </w:r>
      <w:proofErr w:type="spellEnd"/>
      <w:r w:rsidRPr="00FE55A0">
        <w:t xml:space="preserve"> di </w:t>
      </w:r>
      <w:proofErr w:type="spellStart"/>
      <w:r w:rsidRPr="00FE55A0">
        <w:t>rumah</w:t>
      </w:r>
      <w:proofErr w:type="spellEnd"/>
      <w:r w:rsidRPr="00FE55A0">
        <w:t xml:space="preserve"> </w:t>
      </w:r>
      <w:proofErr w:type="spellStart"/>
      <w:r w:rsidRPr="00FE55A0">
        <w:t>sakit</w:t>
      </w:r>
      <w:proofErr w:type="spellEnd"/>
      <w:r w:rsidRPr="00FE55A0">
        <w:t xml:space="preserve"> dan unit </w:t>
      </w:r>
      <w:proofErr w:type="spellStart"/>
      <w:r w:rsidRPr="00FE55A0">
        <w:t>perawatan</w:t>
      </w:r>
      <w:proofErr w:type="spellEnd"/>
      <w:r w:rsidRPr="00FE55A0">
        <w:t xml:space="preserve"> </w:t>
      </w:r>
      <w:proofErr w:type="spellStart"/>
      <w:r w:rsidRPr="00FE55A0">
        <w:t>intensif</w:t>
      </w:r>
      <w:proofErr w:type="spellEnd"/>
      <w:r w:rsidRPr="00FE55A0">
        <w:t xml:space="preserve">. </w:t>
      </w:r>
      <w:proofErr w:type="spellStart"/>
      <w:r w:rsidRPr="00FE55A0">
        <w:t>Namun</w:t>
      </w:r>
      <w:proofErr w:type="spellEnd"/>
      <w:r w:rsidRPr="00FE55A0">
        <w:t xml:space="preserve">, </w:t>
      </w:r>
      <w:proofErr w:type="spellStart"/>
      <w:r w:rsidRPr="00FE55A0">
        <w:t>untuk</w:t>
      </w:r>
      <w:proofErr w:type="spellEnd"/>
      <w:r w:rsidRPr="00FE55A0">
        <w:t xml:space="preserve"> </w:t>
      </w:r>
      <w:proofErr w:type="spellStart"/>
      <w:r w:rsidRPr="00FE55A0">
        <w:t>manajemen</w:t>
      </w:r>
      <w:proofErr w:type="spellEnd"/>
      <w:r w:rsidRPr="00FE55A0">
        <w:t xml:space="preserve"> </w:t>
      </w:r>
      <w:proofErr w:type="spellStart"/>
      <w:r w:rsidRPr="00FE55A0">
        <w:t>jangka</w:t>
      </w:r>
      <w:proofErr w:type="spellEnd"/>
      <w:r w:rsidRPr="00FE55A0">
        <w:t xml:space="preserve"> </w:t>
      </w:r>
      <w:proofErr w:type="spellStart"/>
      <w:r w:rsidRPr="00FE55A0">
        <w:t>panjang</w:t>
      </w:r>
      <w:proofErr w:type="spellEnd"/>
      <w:r w:rsidRPr="00FE55A0">
        <w:t xml:space="preserve"> COVID-19 </w:t>
      </w:r>
      <w:proofErr w:type="spellStart"/>
      <w:r w:rsidRPr="00FE55A0">
        <w:t>kita</w:t>
      </w:r>
      <w:proofErr w:type="spellEnd"/>
      <w:r w:rsidRPr="00FE55A0">
        <w:t xml:space="preserve"> </w:t>
      </w:r>
      <w:proofErr w:type="spellStart"/>
      <w:r w:rsidRPr="00FE55A0">
        <w:t>perlu</w:t>
      </w:r>
      <w:proofErr w:type="spellEnd"/>
      <w:r w:rsidRPr="00FE55A0">
        <w:t xml:space="preserve"> </w:t>
      </w:r>
      <w:proofErr w:type="spellStart"/>
      <w:r w:rsidRPr="00FE55A0">
        <w:t>memahami</w:t>
      </w:r>
      <w:proofErr w:type="spellEnd"/>
      <w:r w:rsidRPr="00FE55A0">
        <w:t xml:space="preserve"> dan </w:t>
      </w:r>
      <w:proofErr w:type="spellStart"/>
      <w:r w:rsidRPr="00FE55A0">
        <w:t>mengoptimalkan</w:t>
      </w:r>
      <w:proofErr w:type="spellEnd"/>
      <w:r w:rsidRPr="00FE55A0">
        <w:t xml:space="preserve"> </w:t>
      </w:r>
      <w:proofErr w:type="spellStart"/>
      <w:r w:rsidRPr="00FE55A0">
        <w:t>perawatan</w:t>
      </w:r>
      <w:proofErr w:type="spellEnd"/>
      <w:r w:rsidRPr="00FE55A0">
        <w:t xml:space="preserve"> di </w:t>
      </w:r>
      <w:proofErr w:type="spellStart"/>
      <w:r w:rsidRPr="00FE55A0">
        <w:t>luar</w:t>
      </w:r>
      <w:proofErr w:type="spellEnd"/>
      <w:r w:rsidRPr="00FE55A0">
        <w:t xml:space="preserve"> </w:t>
      </w:r>
      <w:proofErr w:type="spellStart"/>
      <w:r w:rsidRPr="00FE55A0">
        <w:t>infeksi</w:t>
      </w:r>
      <w:proofErr w:type="spellEnd"/>
      <w:r w:rsidRPr="00FE55A0">
        <w:t xml:space="preserve"> </w:t>
      </w:r>
      <w:proofErr w:type="spellStart"/>
      <w:r w:rsidRPr="00FE55A0">
        <w:t>akut</w:t>
      </w:r>
      <w:proofErr w:type="spellEnd"/>
      <w:r w:rsidRPr="00FE55A0">
        <w:t xml:space="preserve"> </w:t>
      </w:r>
      <w:proofErr w:type="spellStart"/>
      <w:r w:rsidRPr="00FE55A0">
        <w:t>atau</w:t>
      </w:r>
      <w:proofErr w:type="spellEnd"/>
      <w:r w:rsidRPr="00FE55A0">
        <w:t xml:space="preserve"> </w:t>
      </w:r>
      <w:proofErr w:type="spellStart"/>
      <w:r w:rsidRPr="00FE55A0">
        <w:t>kejadian</w:t>
      </w:r>
      <w:proofErr w:type="spellEnd"/>
      <w:r w:rsidRPr="00FE55A0">
        <w:t xml:space="preserve"> </w:t>
      </w:r>
      <w:proofErr w:type="spellStart"/>
      <w:r w:rsidRPr="00FE55A0">
        <w:t>rawat</w:t>
      </w:r>
      <w:proofErr w:type="spellEnd"/>
      <w:r w:rsidRPr="00FE55A0">
        <w:t xml:space="preserve"> </w:t>
      </w:r>
      <w:proofErr w:type="spellStart"/>
      <w:r w:rsidRPr="00FE55A0">
        <w:t>inap</w:t>
      </w:r>
      <w:proofErr w:type="spellEnd"/>
      <w:r w:rsidRPr="00FE55A0">
        <w:t xml:space="preserve">. Sebagian </w:t>
      </w:r>
      <w:proofErr w:type="spellStart"/>
      <w:r w:rsidRPr="00FE55A0">
        <w:t>pasien</w:t>
      </w:r>
      <w:proofErr w:type="spellEnd"/>
      <w:r w:rsidRPr="00FE55A0">
        <w:t xml:space="preserve"> </w:t>
      </w:r>
      <w:proofErr w:type="spellStart"/>
      <w:r w:rsidRPr="00FE55A0">
        <w:t>menderita</w:t>
      </w:r>
      <w:proofErr w:type="spellEnd"/>
      <w:r w:rsidRPr="00FE55A0">
        <w:t xml:space="preserve"> </w:t>
      </w:r>
      <w:proofErr w:type="spellStart"/>
      <w:r w:rsidRPr="00FE55A0">
        <w:t>gejala</w:t>
      </w:r>
      <w:proofErr w:type="spellEnd"/>
      <w:r w:rsidRPr="00FE55A0">
        <w:t xml:space="preserve"> </w:t>
      </w:r>
      <w:proofErr w:type="spellStart"/>
      <w:r w:rsidRPr="00FE55A0">
        <w:t>persisten</w:t>
      </w:r>
      <w:proofErr w:type="spellEnd"/>
      <w:r w:rsidRPr="00FE55A0">
        <w:t xml:space="preserve"> dan </w:t>
      </w:r>
      <w:proofErr w:type="spellStart"/>
      <w:r w:rsidRPr="00FE55A0">
        <w:t>siklus</w:t>
      </w:r>
      <w:proofErr w:type="spellEnd"/>
      <w:r w:rsidRPr="00FE55A0">
        <w:t xml:space="preserve"> </w:t>
      </w:r>
      <w:proofErr w:type="spellStart"/>
      <w:r w:rsidRPr="00FE55A0">
        <w:t>setelah</w:t>
      </w:r>
      <w:proofErr w:type="spellEnd"/>
      <w:r w:rsidRPr="00FE55A0">
        <w:t xml:space="preserve"> </w:t>
      </w:r>
      <w:proofErr w:type="spellStart"/>
      <w:r w:rsidRPr="00FE55A0">
        <w:t>infeksi</w:t>
      </w:r>
      <w:proofErr w:type="spellEnd"/>
      <w:r w:rsidRPr="00FE55A0">
        <w:t xml:space="preserve"> </w:t>
      </w:r>
      <w:proofErr w:type="spellStart"/>
      <w:r w:rsidRPr="00FE55A0">
        <w:t>awal</w:t>
      </w:r>
      <w:proofErr w:type="spellEnd"/>
      <w:r w:rsidRPr="00FE55A0">
        <w:t xml:space="preserve"> </w:t>
      </w:r>
      <w:proofErr w:type="spellStart"/>
      <w:r w:rsidRPr="00FE55A0">
        <w:t>mereka</w:t>
      </w:r>
      <w:proofErr w:type="spellEnd"/>
      <w:r w:rsidRPr="00FE55A0">
        <w:t xml:space="preserve">, </w:t>
      </w:r>
      <w:proofErr w:type="spellStart"/>
      <w:r w:rsidRPr="00FE55A0">
        <w:t>terlepas</w:t>
      </w:r>
      <w:proofErr w:type="spellEnd"/>
      <w:r w:rsidRPr="00FE55A0">
        <w:t xml:space="preserve"> </w:t>
      </w:r>
      <w:proofErr w:type="spellStart"/>
      <w:r w:rsidRPr="00FE55A0">
        <w:t>dari</w:t>
      </w:r>
      <w:proofErr w:type="spellEnd"/>
      <w:r w:rsidRPr="00FE55A0">
        <w:t xml:space="preserve"> </w:t>
      </w:r>
      <w:proofErr w:type="spellStart"/>
      <w:r w:rsidRPr="00FE55A0">
        <w:t>tingkat</w:t>
      </w:r>
      <w:proofErr w:type="spellEnd"/>
      <w:r w:rsidRPr="00FE55A0">
        <w:t xml:space="preserve"> keparahan </w:t>
      </w:r>
      <w:proofErr w:type="spellStart"/>
      <w:r w:rsidRPr="00FE55A0">
        <w:t>infeksi</w:t>
      </w:r>
      <w:proofErr w:type="spellEnd"/>
      <w:r w:rsidRPr="00FE55A0">
        <w:t xml:space="preserve"> COVID-19 yang </w:t>
      </w:r>
      <w:proofErr w:type="spellStart"/>
      <w:r w:rsidRPr="00FE55A0">
        <w:t>dialami</w:t>
      </w:r>
      <w:proofErr w:type="spellEnd"/>
      <w:r w:rsidRPr="00FE55A0">
        <w:t xml:space="preserve">. </w:t>
      </w:r>
      <w:proofErr w:type="spellStart"/>
      <w:r w:rsidRPr="00FE55A0">
        <w:t>Fenomena</w:t>
      </w:r>
      <w:proofErr w:type="spellEnd"/>
      <w:r w:rsidRPr="00FE55A0">
        <w:t xml:space="preserve"> </w:t>
      </w:r>
      <w:proofErr w:type="spellStart"/>
      <w:r w:rsidRPr="00FE55A0">
        <w:t>ini</w:t>
      </w:r>
      <w:proofErr w:type="spellEnd"/>
      <w:r w:rsidRPr="00FE55A0">
        <w:t xml:space="preserve"> </w:t>
      </w:r>
      <w:proofErr w:type="spellStart"/>
      <w:r w:rsidRPr="00FE55A0">
        <w:t>disebut</w:t>
      </w:r>
      <w:proofErr w:type="spellEnd"/>
      <w:r w:rsidRPr="00FE55A0">
        <w:t xml:space="preserve"> </w:t>
      </w:r>
      <w:proofErr w:type="spellStart"/>
      <w:r w:rsidRPr="00FE55A0">
        <w:t>sebagai</w:t>
      </w:r>
      <w:proofErr w:type="spellEnd"/>
      <w:r w:rsidRPr="00FE55A0">
        <w:t xml:space="preserve"> 'long COVID'</w:t>
      </w:r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menyerang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saraf</w:t>
      </w:r>
      <w:proofErr w:type="spellEnd"/>
      <w:r>
        <w:t>.</w:t>
      </w:r>
    </w:p>
    <w:p w14:paraId="46995D33" w14:textId="77777777" w:rsidR="00FE55A0" w:rsidRDefault="00FE55A0" w:rsidP="00284A99">
      <w:pPr>
        <w:pStyle w:val="ListParagraph"/>
        <w:ind w:left="0" w:firstLine="720"/>
        <w:jc w:val="both"/>
      </w:pPr>
    </w:p>
    <w:p w14:paraId="6C20C0DD" w14:textId="0A0D0A72" w:rsidR="00DB54A4" w:rsidRPr="00DB54A4" w:rsidRDefault="00DB54A4" w:rsidP="00284A99">
      <w:pPr>
        <w:pStyle w:val="ListParagraph"/>
        <w:ind w:left="0"/>
        <w:jc w:val="center"/>
        <w:rPr>
          <w:b/>
          <w:bCs/>
        </w:rPr>
      </w:pPr>
      <w:r w:rsidRPr="00DB54A4">
        <w:rPr>
          <w:b/>
          <w:bCs/>
        </w:rPr>
        <w:t>PEMBAHASAN</w:t>
      </w:r>
    </w:p>
    <w:p w14:paraId="1DCFA160" w14:textId="77777777" w:rsidR="00284A99" w:rsidRDefault="00284A99" w:rsidP="00284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14:paraId="356156ED" w14:textId="65B64DB2" w:rsidR="00FE55A0" w:rsidRPr="00AA0DEC" w:rsidRDefault="00FE55A0" w:rsidP="0028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enomena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'long COVID'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sebenarnya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mencakup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kelompok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orang: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mereka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mengalami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sisa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kerusakan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organ (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paru-paru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ginjal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edera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mengakibatkan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fibrosis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paru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penyakit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ginjal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kronis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masing-masing), dan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mereka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terus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mengalami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melemahkan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meskipun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kerusakan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terdeteksi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organ-organ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survei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online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dilakukan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Spanyol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13 Juli-14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Oktober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2020,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didapatkan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gejala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berbeda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terbagi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95,9%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86,5%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neurologis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86,2%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psikologis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emosional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82,8%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muskuloskeletal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79,3%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pernafasan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70,8%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pencernaan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instrText>ADDIN CSL_CITATION {"citationItems":[{"id":"ITEM-1","itemData":{"author":[{"dropping-particle":"","family":"Lledo","given":"Gema M","non-dropping-particle":"","parse-names":false,"suffix":""},{"dropping-particle":"","family":"Sellares","given":"Jacobo","non-dropping-particle":"","parse-names":false,"suffix":""},{"dropping-particle":"","family":"Brotons","given":"Charles","non-dropping-particle":"","parse-names":false,"suffix":""},{"dropping-particle":"","family":"Sans","given":"Mireia","non-dropping-particle":"","parse-names":false,"suffix":""},{"dropping-particle":"","family":"Anton","given":"Juana M. Diez","non-dropping-particle":"","parse-names":false,"suffix":""},{"dropping-particle":"","family":"Blanco","given":"Julia","non-dropping-particle":"","parse-names":false,"suffix":""},{"dropping-particle":"","family":"Bassat","given":"Quique","non-dropping-particle":"","parse-names":false,"suffix":""},{"dropping-particle":"","family":"Sarukhan","given":"Adelaida","non-dropping-particle":"","parse-names":false,"suffix":""}],"id":"ITEM-1","issue":"June","issued":{"date-parts":[["2021"]]},"number-of-pages":"52","title":"Post-Acute COVID Syndrome ( PACS ): Definition , Impact and Management","type":"report","volume":"19"},"uris":["http://www.mendeley.com/documents/?uuid=c26d16c1-566b-4ebd-9503-075d8c06394d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A0DEC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1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7250A05B" w14:textId="77777777" w:rsidR="00FE55A0" w:rsidRPr="00AA0DEC" w:rsidRDefault="00FE55A0" w:rsidP="00284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Belum ada konsensus tentang definisi dan kronologi yang terkait dengan gejala COVID-19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persisten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>. Istilah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prolonged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COVID-19",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prolonged sequelae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",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post-acute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COVID-19",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post-acute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syndrome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(PACS)" "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persistent COVID-19 symptoms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", "p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manifestations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”, 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long-term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effects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”, 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post-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syndrome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”, 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post-acute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COVID-19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sequelae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”, “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chronic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COVID-19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syndrome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” antara lain, telah digunakan oleh berbagai penulis. Sindrom COVID-19 pasca-akut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apabila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gejala bertahan lebih dari 4 minggu,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bedakan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color w:val="000000"/>
          <w:sz w:val="24"/>
          <w:szCs w:val="24"/>
        </w:rPr>
        <w:instrText>ADDIN CSL_CITATION {"citationItems":[{"id":"ITEM-1","itemData":{"author":[{"dropping-particle":"","family":"Lledo","given":"Gema M","non-dropping-particle":"","parse-names":false,"suffix":""},{"dropping-particle":"","family":"Sellares","given":"Jacobo","non-dropping-particle":"","parse-names":false,"suffix":""},{"dropping-particle":"","family":"Brotons","given":"Charles","non-dropping-particle":"","parse-names":false,"suffix":""},{"dropping-particle":"","family":"Sans","given":"Mireia","non-dropping-particle":"","parse-names":false,"suffix":""},{"dropping-particle":"","family":"Anton","given":"Juana M. Diez","non-dropping-particle":"","parse-names":false,"suffix":""},{"dropping-particle":"","family":"Blanco","given":"Julia","non-dropping-particle":"","parse-names":false,"suffix":""},{"dropping-particle":"","family":"Bassat","given":"Quique","non-dropping-particle":"","parse-names":false,"suffix":""},{"dropping-particle":"","family":"Sarukhan","given":"Adelaida","non-dropping-particle":"","parse-names":false,"suffix":""}],"id":"ITEM-1","issue":"June","issued":{"date-parts":[["2021"]]},"number-of-pages":"52","title":"Post-Acute COVID Syndrome ( PACS ): Definition , Impact and Management","type":"report","volume":"19"},"uris":["http://www.mendeley.com/documents/?uuid=c26d16c1-566b-4ebd-9503-075d8c06394d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25C65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A24B03B" w14:textId="77777777" w:rsidR="00FE55A0" w:rsidRPr="00AA0DEC" w:rsidRDefault="00FE55A0" w:rsidP="00284A99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Long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COVID untuk gejala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persisten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lebih dari 4 minggu yang muncul selama COVID akut atau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muncul kemudian dalam kasus subjek tanpa gejala. Gejalanya bukan akibat dari</w:t>
      </w:r>
      <w:r w:rsidRPr="0028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kerusakan organik yang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ireversibel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8993F0" w14:textId="77777777" w:rsidR="00FE55A0" w:rsidRPr="00AA0DEC" w:rsidRDefault="00FE55A0" w:rsidP="00284A99">
      <w:pPr>
        <w:spacing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Sequelae</w:t>
      </w:r>
      <w:proofErr w:type="spellEnd"/>
      <w:r w:rsidRPr="00284A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mengacu pada kerusakan jaringan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ireversibel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setelah 12 minggu yang dapat mewakili perbedaan</w:t>
      </w:r>
      <w:r w:rsidRPr="00284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derajat disfungsi permanen dan gejala.</w:t>
      </w:r>
    </w:p>
    <w:p w14:paraId="14FD2320" w14:textId="77777777" w:rsidR="00FE55A0" w:rsidRPr="00AA0DEC" w:rsidRDefault="00FE55A0" w:rsidP="00284A9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ebagian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besar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long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COVID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membutuhkan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waktu pemulihan melebihi 35 minggu. Selama sakit, peserta mengalami rata-rata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9 sistem organ. Gejala yang paling sering terjadi setelah bulan ke-6 adalah kelelahan, malaise pasca aktivitas, dan disfungsi kognitif. Gejala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bervariasi dalam prevalensinya dari waktu ke waktu,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identifikasi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tiga kelompok gejala, masing-masing dengan profil temporal yang khas.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Sebagian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0DEC">
        <w:rPr>
          <w:rFonts w:ascii="Times New Roman" w:hAnsi="Times New Roman" w:cs="Times New Roman"/>
          <w:color w:val="000000"/>
          <w:sz w:val="24"/>
          <w:szCs w:val="24"/>
        </w:rPr>
        <w:t>kekambuhan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, terutama dipicu oleh olahraga, aktivitas fisik atau mental, dan stres. Disfungsi kognitif atau masalah memori yang umum di semua kelompok umur. Kecuali hilangnya penciuman dan rasa, prevalensi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semua gejala serupa antara kelompok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terk</w:t>
      </w:r>
      <w:r w:rsidRPr="00AA0DEC">
        <w:rPr>
          <w:rFonts w:ascii="Times New Roman" w:hAnsi="Times New Roman" w:cs="Times New Roman"/>
          <w:color w:val="000000"/>
          <w:sz w:val="24"/>
          <w:szCs w:val="24"/>
        </w:rPr>
        <w:t>onfirmasi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terduga</w:t>
      </w:r>
      <w:proofErr w:type="spellEnd"/>
      <w:r w:rsidRPr="00AA0DEC">
        <w:rPr>
          <w:rFonts w:ascii="Times New Roman" w:hAnsi="Times New Roman" w:cs="Times New Roman"/>
          <w:color w:val="000000"/>
          <w:sz w:val="24"/>
          <w:szCs w:val="24"/>
        </w:rPr>
        <w:t xml:space="preserve"> COVID-19.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color w:val="000000"/>
          <w:sz w:val="24"/>
          <w:szCs w:val="24"/>
        </w:rPr>
        <w:instrText>ADDIN CSL_CITATION {"citationItems":[{"id":"ITEM-1","itemData":{"DOI":"10.1016/j.eclinm.2021.101019","author":[{"dropping-particle":"","family":"Davis","given":"Hannah E","non-dropping-particle":"","parse-names":false,"suffix":""},{"dropping-particle":"","family":"Assaf","given":"Gina S","non-dropping-particle":"","parse-names":false,"suffix":""},{"dropping-particle":"","family":"Mccorkell","given":"Lisa","non-dropping-particle":"","parse-names":false,"suffix":""},{"dropping-particle":"","family":"Wei","given":"Hannah","non-dropping-particle":"","parse-names":false,"suffix":""},{"dropping-particle":"","family":"Low","given":"Ryan J","non-dropping-particle":"","parse-names":false,"suffix":""},{"dropping-particle":"","family":"Re","given":"Yochai","non-dropping-particle":"","parse-names":false,"suffix":""},{"dropping-particle":"","family":"Red","given":"Signe","non-dropping-particle":"","parse-names":false,"suffix":""},{"dropping-particle":"","family":"Austin","given":"Jared P","non-dropping-particle":"","parse-names":false,"suffix":""},{"dropping-particle":"","family":"Akrami","given":"Athena","non-dropping-particle":"","parse-names":false,"suffix":""}],"container-title":"Eclinical Medicine","id":"ITEM-1","issued":{"date-parts":[["2021"]]},"page":"1-19","title":"Characterizing long COVID in an international cohort : 7 months of symptoms and their impact","type":"article-journal","volume":"38"},"uris":["http://www.mendeley.com/documents/?uuid=c15c44e6-75d5-455e-8c95-a1e3247321ad"]}],"mendeley":{"formattedCitation":"&lt;sup&gt;2&lt;/sup&gt;","plainTextFormattedCitation":"2","previouslyFormattedCitation":"&lt;sup&gt;2&lt;/sup&gt;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3726E0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4E393A4C" w14:textId="77777777" w:rsidR="00FE55A0" w:rsidRDefault="00FE55A0" w:rsidP="00284A9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SARS-CoV-2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menyerang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rute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sama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CoVs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lainnya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rute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hematogen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transportasi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retrograde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antegrade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saraf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perifer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SSP. Salah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mungkin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rute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hematogen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mengikat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reseptor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 pada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BBB,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melewati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ansitosis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akhirnya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mencapai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Infeksi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setiap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replikasi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virus. Karena BSG dan NRP1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diekspresikan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tinggi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daripada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ACE2 di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mikrovaskular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kemungkinan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menggunakan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reseptor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memasuki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SSP.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lain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melibatkan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sel-sel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kekebalan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mengekspresikan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ACE2,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monosit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granulosit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limfosit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, (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"Trojan horse").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Sel-sel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kekebalan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terinfeksi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kemudian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membawa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SSP, di mana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menginfeksi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RNA virus SARS-CoV-2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terdeteksi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makrofag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paru-paru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COVID-19;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namun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replikasi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virus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imun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infiltrasi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imun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membutuhkan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lanjut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Satu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tambahan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melewati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tight junction</w:t>
      </w:r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terganggu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rute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paraseluler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disebutkan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sebelumnya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SARS-CoV-2 juga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mencapai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saraf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perifer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khusus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lagi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neuron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sensorik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penciuman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Ekspresi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tinggi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ACE2 dan protease priming,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transmembran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serin protease 2 (TMPRSS2),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sustentakular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induk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epitel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olfaktorius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bulbus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olfaktorius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memungkinkan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transpor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retrograde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antegrade </w:t>
      </w:r>
      <w:proofErr w:type="spellStart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987A9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SSP.</w:t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 w:fldLock="1"/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ADDIN CSL_CITATION {"citationItems":[{"id":"ITEM-1","itemData":{"author":[{"dropping-particle":"","family":"Shehata","given":"Ghaydaa A","non-dropping-particle":"","parse-names":false,"suffix":""},{"dropping-particle":"","family":"Lord","given":"Kevin C","non-dropping-particle":"","parse-names":false,"suffix":""},{"dropping-particle":"","family":"Grudzinski","given":"Michaela C","non-dropping-particle":"","parse-names":false,"suffix":""},{"dropping-particle":"","family":"Elsayed","given":"Mohamed","non-dropping-particle":"","parse-names":false,"suffix":""},{"dropping-particle":"","family":"Abdelnaby","given":"Ramy","non-dropping-particle":"","parse-names":false,"suffix":""},{"dropping-particle":"","family":"Elshabrawy","given":"Hatem A","non-dropping-particle":"","parse-names":false,"suffix":""}],"id":"ITEM-1","issued":{"date-parts":[["2021"]]},"title":"Neurological Complications of COVID-19 : Underlying Mechanisms and Management","type":"report"},"uris":["http://www.mendeley.com/documents/?uuid=b8a3bd38-c534-4852-8c32-944f2148952f"]}],"mendeley":{"formattedCitation":"&lt;sup&gt;3&lt;/sup&gt;","plainTextFormattedCitation":"3","previouslyFormattedCitation":"&lt;sup&gt;3&lt;/sup&gt;"},"properties":{"noteIndex":0},"schema":"https://github.com/citation-style-language/schema/raw/master/csl-citation.json"}</w:instrText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AA0DEC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val="en-US"/>
        </w:rPr>
        <w:t>3</w:t>
      </w:r>
      <w:r w:rsidRPr="00AA0DEC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p w14:paraId="047E4DE1" w14:textId="187E89B8" w:rsidR="00FE55A0" w:rsidRDefault="00FE55A0" w:rsidP="00284A9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Mekanisme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patofisiologis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potensial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terlibat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manifestasi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manifestasi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'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long</w:t>
      </w:r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-COVID' di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saraf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pusat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(SSP). (a) Pada COVID-19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masuknya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difasilitasi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oleh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jalur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transsinaptik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hematogen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langsung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melalui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keterlibatan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reseptor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angiotensin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converting enzyme 2 (ACE2),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terletak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permukaan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berbagai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termasuk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neuron,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dan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otot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polos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pembuluh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darah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Badai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sitokin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diinduksi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gangguan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tight junction</w:t>
      </w:r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lapisan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sawar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darah-otak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meningkatkan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permeabilitas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sawar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darah-otak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memungkinkan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transmigrasi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leukosit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terinfeksi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virus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ke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SSP.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Selain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itu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pelepasan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sitokin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memicu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aktivasi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adhesi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trombosit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kerusakan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endotel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lanjut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telah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dikaitkan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peningkatan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risiko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trombotik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dicatat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COVID-19 </w:t>
      </w:r>
      <w:proofErr w:type="spellStart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Pr="00E7459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Ketika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sitokin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leukosit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melewati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sawar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mereka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mengaktivasi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mikroglial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mencetuskan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kaskade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apoptosis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demyelinasi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(b) Pada ‘long-COVID’,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inflamasi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kronis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degeneratif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neurologis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jangka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panjang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’. Pada area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ACE-2,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korteks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somatosensory, gyrus rectal/orbital,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lobus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temporal,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hipotalamus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talamus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batang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otak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serebelum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PET scan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‘long-COVID’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prominen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hipometabolism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metabolisme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glukosa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terlihat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area-area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oleh proses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oksidatif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disfungsi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mitokondrial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autoregulasi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serebral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yanng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sekunder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infeksi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SARS-CoV-2.</w:t>
      </w:r>
      <w:r>
        <w:rPr>
          <w:rFonts w:ascii="Times New Roman" w:hAnsi="Times New Roman" w:cs="Times New Roman"/>
          <w:sz w:val="24"/>
          <w:szCs w:val="24"/>
          <w:lang w:val="en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en-ID"/>
        </w:rPr>
        <w:instrText>ADDIN CSL_CITATION {"citationItems":[{"id":"ITEM-1","itemData":{"DOI":"10.1177/https","ISBN":"2040622322","author":[{"dropping-particle":"","family":"Stefanou","given":"Maria-ioanna","non-dropping-particle":"","parse-names":false,"suffix":""},{"dropping-particle":"","family":"Palaiodimou","given":"Lina","non-dropping-particle":"","parse-names":false,"suffix":""},{"dropping-particle":"","family":"Bakola","given":"Eleni","non-dropping-particle":"","parse-names":false,"suffix":""},{"dropping-particle":"","family":"Smyrnis","given":"Nikolaos","non-dropping-particle":"","parse-names":false,"suffix":""},{"dropping-particle":"","family":"Papadopoulou","given":"Marianna","non-dropping-particle":"","parse-names":false,"suffix":""},{"dropping-particle":"","family":"Paraskevas","given":"George P","non-dropping-particle":"","parse-names":false,"suffix":""},{"dropping-particle":"","family":"Rizos","given":"Emmanouil","non-dropping-particle":"","parse-names":false,"suffix":""},{"dropping-particle":"","family":"Boutati","given":"Eleni","non-dropping-particle":"","parse-names":false,"suffix":""},{"dropping-particle":"","family":"Grigoriadis","given":"Nikolaos","non-dropping-particle":"","parse-names":false,"suffix":""},{"dropping-particle":"","family":"Krogias","given":"Christos","non-dropping-particle":"","parse-names":false,"suffix":""},{"dropping-particle":"","family":"Giannopoulos","given":"Sotirios","non-dropping-particle":"","parse-names":false,"suffix":""},{"dropping-particle":"","family":"Tsiodras","given":"Sotirios","non-dropping-particle":"","parse-names":false,"suffix":""},{"dropping-particle":"","family":"Gaga","given":"Mina","non-dropping-particle":"","parse-names":false,"suffix":""},{"dropping-particle":"","family":"Tsivgoulis","given":"Georgios","non-dropping-particle":"","parse-names":false,"suffix":""}],"container-title":"Therapeutic Advances in Chronic Disease","id":"ITEM-1","issued":{"date-parts":[["2022"]]},"page":"1-21","title":"Neurological manifestations of long-COVID syndrome : a narrative review","type":"article-journal","volume":"13"},"uris":["http://www.mendeley.com/documents/?uuid=3c5551d9-4db6-4710-9c10-382bc00c5fae"]}],"mendeley":{"formattedCitation":"&lt;sup&gt;4&lt;/sup&gt;","plainTextFormattedCitation":"4","previouslyFormattedCitation":"&lt;sup&gt;4&lt;/sup&gt;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sz w:val="24"/>
          <w:szCs w:val="24"/>
          <w:lang w:val="en-ID"/>
        </w:rPr>
        <w:fldChar w:fldCharType="separate"/>
      </w:r>
      <w:r w:rsidRPr="006B0376">
        <w:rPr>
          <w:rFonts w:ascii="Times New Roman" w:hAnsi="Times New Roman" w:cs="Times New Roman"/>
          <w:noProof/>
          <w:sz w:val="24"/>
          <w:szCs w:val="24"/>
          <w:vertAlign w:val="superscript"/>
          <w:lang w:val="en-ID"/>
        </w:rPr>
        <w:t>4</w:t>
      </w:r>
      <w:r>
        <w:rPr>
          <w:rFonts w:ascii="Times New Roman" w:hAnsi="Times New Roman" w:cs="Times New Roman"/>
          <w:sz w:val="24"/>
          <w:szCs w:val="24"/>
          <w:lang w:val="en-ID"/>
        </w:rPr>
        <w:fldChar w:fldCharType="end"/>
      </w:r>
      <w:r w:rsidRPr="006B037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C7E6329" w14:textId="143884FE" w:rsidR="00FE55A0" w:rsidRDefault="00484933" w:rsidP="00284A99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indrom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pasca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-COVID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mencakup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sejumlah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besar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kondisi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menganggu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Insiden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spesifik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berkisar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sesuai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tingkat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keparahannya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infeksi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akut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periode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observasi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Kelelahan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fatique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paling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umum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pasca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-COVID,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insiden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mulai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17,5%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72% di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antara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rawat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inap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berlanjut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kali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tujuh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setelah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timbulnya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penyakit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kecacatan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signifikan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Disfungsi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penciuman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pengecapan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berlangsung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bulan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setelah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onsetnya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pada 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11% 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9%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terjadi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bulan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setelah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keluar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rumah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sakit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Gangguan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tidur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mental,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seperti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kecemasan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depresi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terjadi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sekitar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26%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40%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masing-masing,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bahkan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menetap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hingga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bulan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setelah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COVID-19.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Manifestasi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gangguan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mental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termasuk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obsesi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f-</w:t>
      </w:r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kompulsi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aktivitas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sosial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berkurang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berkurangnya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konsentrasi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agresi</w:t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proofErr w:type="spellEnd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FE55A0" w:rsidRPr="00880887">
        <w:rPr>
          <w:rFonts w:ascii="Times New Roman" w:hAnsi="Times New Roman" w:cs="Times New Roman"/>
          <w:color w:val="000000"/>
          <w:sz w:val="24"/>
          <w:szCs w:val="24"/>
          <w:lang w:val="en-US"/>
        </w:rPr>
        <w:t>iritabilitas</w:t>
      </w:r>
      <w:proofErr w:type="spellEnd"/>
      <w:r w:rsidR="00FE55A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FE55A0" w:rsidRPr="00AA0DEC">
        <w:rPr>
          <w:rFonts w:ascii="Times New Roman" w:hAnsi="Times New Roman" w:cs="Times New Roman"/>
          <w:color w:val="000000"/>
          <w:sz w:val="24"/>
          <w:szCs w:val="24"/>
          <w:lang w:val="en-ID"/>
        </w:rPr>
        <w:fldChar w:fldCharType="begin" w:fldLock="1"/>
      </w:r>
      <w:r w:rsidR="00FE55A0">
        <w:rPr>
          <w:rFonts w:ascii="Times New Roman" w:hAnsi="Times New Roman" w:cs="Times New Roman"/>
          <w:color w:val="000000"/>
          <w:sz w:val="24"/>
          <w:szCs w:val="24"/>
          <w:lang w:val="en-ID"/>
        </w:rPr>
        <w:instrText>ADDIN CSL_CITATION {"citationItems":[{"id":"ITEM-1","itemData":{"author":[{"dropping-particle":"","family":"Maltezou","given":"Helena C","non-dropping-particle":"","parse-names":false,"suffix":""},{"dropping-particle":"","family":"Pavli","given":"Androula","non-dropping-particle":"","parse-names":false,"suffix":""},{"dropping-particle":"","family":"Tsakris","given":"Athanasios","non-dropping-particle":"","parse-names":false,"suffix":""}],"container-title":"Vaccines","id":"ITEM-1","issued":{"date-parts":[["2021"]]},"page":"1-12","title":"Post-COVID Syndrome : An Insight on Its Pathogenesis","type":"article-journal","volume":"9"},"uris":["http://www.mendeley.com/documents/?uuid=1be8615a-74f8-45af-b1ae-8da84a8c730d"]}],"mendeley":{"formattedCitation":"&lt;sup&gt;5&lt;/sup&gt;","plainTextFormattedCitation":"5","previouslyFormattedCitation":"&lt;sup&gt;5&lt;/sup&gt;"},"properties":{"noteIndex":0},"schema":"https://github.com/citation-style-language/schema/raw/master/csl-citation.json"}</w:instrText>
      </w:r>
      <w:r w:rsidR="00FE55A0" w:rsidRPr="00AA0DEC">
        <w:rPr>
          <w:rFonts w:ascii="Times New Roman" w:hAnsi="Times New Roman" w:cs="Times New Roman"/>
          <w:color w:val="000000"/>
          <w:sz w:val="24"/>
          <w:szCs w:val="24"/>
          <w:lang w:val="en-ID"/>
        </w:rPr>
        <w:fldChar w:fldCharType="separate"/>
      </w:r>
      <w:r w:rsidR="00FE55A0" w:rsidRPr="006B0376"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  <w:lang w:val="en-ID"/>
        </w:rPr>
        <w:t>5</w:t>
      </w:r>
      <w:r w:rsidR="00FE55A0" w:rsidRPr="00AA0DEC">
        <w:rPr>
          <w:rFonts w:ascii="Times New Roman" w:hAnsi="Times New Roman" w:cs="Times New Roman"/>
          <w:color w:val="000000"/>
          <w:sz w:val="24"/>
          <w:szCs w:val="24"/>
          <w:lang w:val="en-ID"/>
        </w:rPr>
        <w:fldChar w:fldCharType="end"/>
      </w:r>
    </w:p>
    <w:p w14:paraId="5752BF3E" w14:textId="77777777" w:rsidR="003D21A1" w:rsidRDefault="003D21A1" w:rsidP="00284A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6438E861" w14:textId="5423CE62" w:rsidR="00FE55A0" w:rsidRDefault="00484933" w:rsidP="00284A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  <w:r w:rsidRPr="0048493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B16AFA" wp14:editId="7A045B89">
            <wp:extent cx="4956982" cy="3291840"/>
            <wp:effectExtent l="0" t="0" r="0" b="0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7445B7F3-88B6-C012-DC45-552A513429D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7445B7F3-88B6-C012-DC45-552A513429D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15385" t="22673" r="30059" b="9130"/>
                    <a:stretch/>
                  </pic:blipFill>
                  <pic:spPr>
                    <a:xfrm>
                      <a:off x="0" y="0"/>
                      <a:ext cx="5011831" cy="332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6D18A" w14:textId="0BBAE614" w:rsidR="00073A77" w:rsidRPr="00484933" w:rsidRDefault="00484933" w:rsidP="00284A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2EA7">
        <w:rPr>
          <w:rFonts w:ascii="Times New Roman" w:hAnsi="Times New Roman"/>
          <w:b/>
          <w:sz w:val="20"/>
        </w:rPr>
        <w:t xml:space="preserve">Gambar 1. </w:t>
      </w:r>
      <w:proofErr w:type="spellStart"/>
      <w:r>
        <w:rPr>
          <w:rFonts w:ascii="Times New Roman" w:hAnsi="Times New Roman"/>
          <w:b/>
          <w:sz w:val="20"/>
          <w:lang w:val="en-US"/>
        </w:rPr>
        <w:t>Patofisiologi</w:t>
      </w:r>
      <w:proofErr w:type="spellEnd"/>
      <w:r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0"/>
          <w:lang w:val="en-US"/>
        </w:rPr>
        <w:t>inflamasi</w:t>
      </w:r>
      <w:proofErr w:type="spellEnd"/>
      <w:r>
        <w:rPr>
          <w:rFonts w:ascii="Times New Roman" w:hAnsi="Times New Roman"/>
          <w:b/>
          <w:sz w:val="20"/>
          <w:lang w:val="en-US"/>
        </w:rPr>
        <w:t xml:space="preserve"> pada </w:t>
      </w:r>
      <w:proofErr w:type="spellStart"/>
      <w:r>
        <w:rPr>
          <w:rFonts w:ascii="Times New Roman" w:hAnsi="Times New Roman"/>
          <w:b/>
          <w:sz w:val="20"/>
          <w:lang w:val="en-US"/>
        </w:rPr>
        <w:t>fase</w:t>
      </w:r>
      <w:proofErr w:type="spellEnd"/>
      <w:r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0"/>
          <w:lang w:val="en-US"/>
        </w:rPr>
        <w:t>akut</w:t>
      </w:r>
      <w:proofErr w:type="spellEnd"/>
      <w:r>
        <w:rPr>
          <w:rFonts w:ascii="Times New Roman" w:hAnsi="Times New Roman"/>
          <w:b/>
          <w:sz w:val="20"/>
          <w:lang w:val="en-US"/>
        </w:rPr>
        <w:t xml:space="preserve"> COVID dan ‘long-COVID’</w:t>
      </w:r>
    </w:p>
    <w:p w14:paraId="72EAE3DF" w14:textId="77777777" w:rsidR="00073A77" w:rsidRDefault="00073A77" w:rsidP="00284A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17AF2577" w14:textId="58CB285E" w:rsidR="00FE55A0" w:rsidRDefault="00FE55A0" w:rsidP="00284A99">
      <w:pPr>
        <w:spacing w:after="0" w:line="240" w:lineRule="auto"/>
        <w:ind w:firstLine="426"/>
        <w:jc w:val="both"/>
        <w:rPr>
          <w:rFonts w:ascii="Roboto-Regular" w:hAnsi="Roboto-Regular" w:cs="Roboto-Regular"/>
          <w:color w:val="4A4A4A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neurologis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yaitu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ID"/>
        </w:rPr>
        <w:t>lower motor neuron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hypotonia, dysgeusia)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diikuti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oleh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kognitif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(brain fog,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atensi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memori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penurunan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kognitif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Selain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m</w:t>
      </w:r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anifestasi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penting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lainnya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termasuk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rasa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sakit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atau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nyeri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kelelahan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gera</w:t>
      </w:r>
      <w:r>
        <w:rPr>
          <w:rFonts w:ascii="Times New Roman" w:hAnsi="Times New Roman" w:cs="Times New Roman"/>
          <w:color w:val="000000"/>
          <w:sz w:val="24"/>
          <w:szCs w:val="24"/>
          <w:lang w:val="en-ID"/>
        </w:rPr>
        <w:t>k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gejala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kecemasan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gangguan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>tidur</w:t>
      </w:r>
      <w:proofErr w:type="spellEnd"/>
      <w:r w:rsidRPr="00B34D8F">
        <w:rPr>
          <w:rFonts w:ascii="Times New Roman" w:hAnsi="Times New Roman" w:cs="Times New Roman"/>
          <w:color w:val="000000"/>
          <w:sz w:val="24"/>
          <w:szCs w:val="24"/>
          <w:lang w:val="en-ID"/>
        </w:rPr>
        <w:t xml:space="preserve"> dan mialgia</w:t>
      </w:r>
      <w:r>
        <w:rPr>
          <w:rFonts w:ascii="Roboto-Regular" w:hAnsi="Roboto-Regular" w:cs="Roboto-Regular"/>
          <w:color w:val="4A4A4A"/>
          <w:sz w:val="24"/>
          <w:szCs w:val="24"/>
          <w:lang w:val="en-ID"/>
        </w:rPr>
        <w:t>.</w:t>
      </w:r>
      <w:r>
        <w:rPr>
          <w:rFonts w:ascii="Roboto-Regular" w:hAnsi="Roboto-Regular" w:cs="Roboto-Regular"/>
          <w:color w:val="4A4A4A"/>
          <w:sz w:val="24"/>
          <w:szCs w:val="24"/>
          <w:lang w:val="en-ID"/>
        </w:rPr>
        <w:fldChar w:fldCharType="begin" w:fldLock="1"/>
      </w:r>
      <w:r w:rsidR="00073A77">
        <w:rPr>
          <w:rFonts w:ascii="Roboto-Regular" w:hAnsi="Roboto-Regular" w:cs="Roboto-Regular"/>
          <w:color w:val="4A4A4A"/>
          <w:sz w:val="24"/>
          <w:szCs w:val="24"/>
          <w:lang w:val="en-ID"/>
        </w:rPr>
        <w:instrText>ADDIN CSL_CITATION {"citationItems":[{"id":"ITEM-1","itemData":{"ISBN":"0000000167","author":[{"dropping-particle":"","family":"Zocche Junior","given":"Giovani","non-dropping-particle":"","parse-names":false,"suffix":""},{"dropping-particle":"","family":"Fonseca Siqueira","given":"Lia","non-dropping-particle":"","parse-names":false,"suffix":""},{"dropping-particle":"","family":"Bongiovani Loro","given":"Leonardo","non-dropping-particle":"","parse-names":false,"suffix":""},{"dropping-particle":"","family":"Valles Fortes","given":"Felipe","non-dropping-particle":"","parse-names":false,"suffix":""},{"dropping-particle":"","family":"Zanirati","given":"Gabriele","non-dropping-particle":"","parse-names":false,"suffix":""},{"dropping-particle":"","family":"Marinowic","given":"Daniel","non-dropping-particle":"","parse-names":false,"suffix":""},{"dropping-particle":"","family":"Costa da Costa","given":"Jaderson","non-dropping-particle":"","parse-names":false,"suffix":""}],"container-title":"Research Square","id":"ITEM-1","issued":{"date-parts":[["2022"]]},"page":"1-37","title":"Neurologic and neuropsychiatric symptoms in long-COVID 19 syndrome: a systematic review","type":"article-journal"},"uris":["http://www.mendeley.com/documents/?uuid=b38c1f95-ed1a-4547-b4e0-cb78baa62324"]}],"mendeley":{"formattedCitation":"&lt;sup&gt;6&lt;/sup&gt;","plainTextFormattedCitation":"6","previouslyFormattedCitation":"&lt;sup&gt;6&lt;/sup&gt;"},"properties":{"noteIndex":0},"schema":"https://github.com/citation-style-language/schema/raw/master/csl-citation.json"}</w:instrText>
      </w:r>
      <w:r>
        <w:rPr>
          <w:rFonts w:ascii="Roboto-Regular" w:hAnsi="Roboto-Regular" w:cs="Roboto-Regular"/>
          <w:color w:val="4A4A4A"/>
          <w:sz w:val="24"/>
          <w:szCs w:val="24"/>
          <w:lang w:val="en-ID"/>
        </w:rPr>
        <w:fldChar w:fldCharType="separate"/>
      </w:r>
      <w:r w:rsidRPr="004B7D39">
        <w:rPr>
          <w:rFonts w:ascii="Roboto-Regular" w:hAnsi="Roboto-Regular" w:cs="Roboto-Regular"/>
          <w:noProof/>
          <w:color w:val="4A4A4A"/>
          <w:sz w:val="24"/>
          <w:szCs w:val="24"/>
          <w:vertAlign w:val="superscript"/>
          <w:lang w:val="en-ID"/>
        </w:rPr>
        <w:t>6</w:t>
      </w:r>
      <w:r>
        <w:rPr>
          <w:rFonts w:ascii="Roboto-Regular" w:hAnsi="Roboto-Regular" w:cs="Roboto-Regular"/>
          <w:color w:val="4A4A4A"/>
          <w:sz w:val="24"/>
          <w:szCs w:val="24"/>
          <w:lang w:val="en-ID"/>
        </w:rPr>
        <w:fldChar w:fldCharType="end"/>
      </w:r>
    </w:p>
    <w:p w14:paraId="3E5E68B3" w14:textId="77777777" w:rsidR="00484933" w:rsidRDefault="00484933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854BB30" w14:textId="77777777" w:rsidR="00284A99" w:rsidRDefault="00284A99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3D0DE6E" w14:textId="259DFF60" w:rsidR="00484933" w:rsidRDefault="00484933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1F2EA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Tabel 1.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Manifestasi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‘long-COVID’ pada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saraf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fldChar w:fldCharType="begin" w:fldLock="1"/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instrText>ADDIN CSL_CITATION {"citationItems":[{"id":"ITEM-1","itemData":{"DOI":"10.1177/https","ISBN":"2040622322","author":[{"dropping-particle":"","family":"Stefanou","given":"Maria-ioanna","non-dropping-particle":"","parse-names":false,"suffix":""},{"dropping-particle":"","family":"Palaiodimou","given":"Lina","non-dropping-particle":"","parse-names":false,"suffix":""},{"dropping-particle":"","family":"Bakola","given":"Eleni","non-dropping-particle":"","parse-names":false,"suffix":""},{"dropping-particle":"","family":"Smyrnis","given":"Nikolaos","non-dropping-particle":"","parse-names":false,"suffix":""},{"dropping-particle":"","family":"Papadopoulou","given":"Marianna","non-dropping-particle":"","parse-names":false,"suffix":""},{"dropping-particle":"","family":"Paraskevas","given":"George P","non-dropping-particle":"","parse-names":false,"suffix":""},{"dropping-particle":"","family":"Rizos","given":"Emmanouil","non-dropping-particle":"","parse-names":false,"suffix":""},{"dropping-particle":"","family":"Boutati","given":"Eleni","non-dropping-particle":"","parse-names":false,"suffix":""},{"dropping-particle":"","family":"Grigoriadis","given":"Nikolaos","non-dropping-particle":"","parse-names":false,"suffix":""},{"dropping-particle":"","family":"Krogias","given":"Christos","non-dropping-particle":"","parse-names":false,"suffix":""},{"dropping-particle":"","family":"Giannopoulos","given":"Sotirios","non-dropping-particle":"","parse-names":false,"suffix":""},{"dropping-particle":"","family":"Tsiodras","given":"Sotirios","non-dropping-particle":"","parse-names":false,"suffix":""},{"dropping-particle":"","family":"Gaga","given":"Mina","non-dropping-particle":"","parse-names":false,"suffix":""},{"dropping-particle":"","family":"Tsivgoulis","given":"Georgios","non-dropping-particle":"","parse-names":false,"suffix":""}],"container-title":"Therapeutic Advances in Chronic Disease","id":"ITEM-1","issued":{"date-parts":[["2022"]]},"page":"1-21","title":"Neurological manifestations of long-COVID syndrome : a narrative review","type":"article-journal","volume":"13"},"uris":["http://www.mendeley.com/documents/?uuid=3c5551d9-4db6-4710-9c10-382bc00c5fae"]}],"mendeley":{"formattedCitation":"&lt;sup&gt;4&lt;/sup&gt;","plainTextFormattedCitation":"4"},"properties":{"noteIndex":0},"schema":"https://github.com/citation-style-language/schema/raw/master/csl-citation.json"}</w:instrTex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fldChar w:fldCharType="separate"/>
      </w:r>
      <w:r w:rsidRPr="00073A77"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val="en-US"/>
        </w:rPr>
        <w:t>4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fldChar w:fldCharType="end"/>
      </w:r>
    </w:p>
    <w:p w14:paraId="395ABEAC" w14:textId="77777777" w:rsidR="00284A99" w:rsidRPr="00FE55A0" w:rsidRDefault="00284A99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tbl>
      <w:tblPr>
        <w:tblStyle w:val="TableGrid"/>
        <w:tblW w:w="3103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3060"/>
      </w:tblGrid>
      <w:tr w:rsidR="00484933" w:rsidRPr="001F2EA7" w14:paraId="3BC6CD05" w14:textId="77777777" w:rsidTr="00284A99">
        <w:trPr>
          <w:trHeight w:val="204"/>
          <w:jc w:val="center"/>
        </w:trPr>
        <w:tc>
          <w:tcPr>
            <w:tcW w:w="2442" w:type="pct"/>
            <w:tcBorders>
              <w:top w:val="single" w:sz="4" w:space="0" w:color="auto"/>
              <w:bottom w:val="single" w:sz="4" w:space="0" w:color="auto"/>
            </w:tcBorders>
          </w:tcPr>
          <w:p w14:paraId="3EF1FF19" w14:textId="77777777" w:rsidR="00484933" w:rsidRPr="00073A77" w:rsidRDefault="00484933" w:rsidP="00284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Lokasi pada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saraf</w:t>
            </w:r>
            <w:proofErr w:type="spellEnd"/>
          </w:p>
        </w:tc>
        <w:tc>
          <w:tcPr>
            <w:tcW w:w="2558" w:type="pct"/>
            <w:tcBorders>
              <w:top w:val="single" w:sz="4" w:space="0" w:color="auto"/>
              <w:bottom w:val="single" w:sz="4" w:space="0" w:color="auto"/>
            </w:tcBorders>
          </w:tcPr>
          <w:p w14:paraId="64D43374" w14:textId="77777777" w:rsidR="00484933" w:rsidRPr="00073A77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Gejala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Neurologis</w:t>
            </w:r>
            <w:proofErr w:type="spellEnd"/>
          </w:p>
        </w:tc>
      </w:tr>
      <w:tr w:rsidR="00484933" w:rsidRPr="001F2EA7" w14:paraId="0B8C6CE8" w14:textId="77777777" w:rsidTr="00284A99">
        <w:trPr>
          <w:trHeight w:val="408"/>
          <w:jc w:val="center"/>
        </w:trPr>
        <w:tc>
          <w:tcPr>
            <w:tcW w:w="2442" w:type="pct"/>
            <w:tcBorders>
              <w:top w:val="single" w:sz="4" w:space="0" w:color="auto"/>
              <w:bottom w:val="single" w:sz="4" w:space="0" w:color="auto"/>
            </w:tcBorders>
          </w:tcPr>
          <w:p w14:paraId="54B41786" w14:textId="77777777" w:rsidR="00484933" w:rsidRPr="00073A77" w:rsidRDefault="00484933" w:rsidP="00284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saraf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pusat</w:t>
            </w:r>
            <w:proofErr w:type="spellEnd"/>
          </w:p>
          <w:p w14:paraId="1BF7604D" w14:textId="77777777" w:rsidR="00484933" w:rsidRPr="00073A77" w:rsidRDefault="00484933" w:rsidP="00284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2558" w:type="pct"/>
            <w:tcBorders>
              <w:top w:val="single" w:sz="4" w:space="0" w:color="auto"/>
              <w:bottom w:val="single" w:sz="4" w:space="0" w:color="auto"/>
            </w:tcBorders>
          </w:tcPr>
          <w:p w14:paraId="7C361DAB" w14:textId="77777777" w:rsidR="00484933" w:rsidRPr="00073A77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proofErr w:type="spellStart"/>
            <w:r w:rsidRPr="00073A7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Fatique</w:t>
            </w:r>
            <w:proofErr w:type="spellEnd"/>
          </w:p>
          <w:p w14:paraId="431D3610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‘Brain Fog’</w:t>
            </w:r>
          </w:p>
          <w:p w14:paraId="52AFD0EA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kepala</w:t>
            </w:r>
            <w:proofErr w:type="spellEnd"/>
          </w:p>
          <w:p w14:paraId="3DEE7753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tidur</w:t>
            </w:r>
            <w:proofErr w:type="spellEnd"/>
          </w:p>
          <w:p w14:paraId="00648E96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/mood</w:t>
            </w:r>
          </w:p>
          <w:p w14:paraId="2CBEC565" w14:textId="77777777" w:rsidR="00484933" w:rsidRP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Dizziness</w:t>
            </w:r>
          </w:p>
          <w:p w14:paraId="2DA77050" w14:textId="77777777" w:rsidR="00484933" w:rsidRPr="00073A77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Disotonom</w:t>
            </w:r>
            <w:proofErr w:type="spellEnd"/>
          </w:p>
        </w:tc>
      </w:tr>
      <w:tr w:rsidR="00484933" w:rsidRPr="001F2EA7" w14:paraId="1CA7C799" w14:textId="77777777" w:rsidTr="00284A99">
        <w:trPr>
          <w:trHeight w:val="408"/>
          <w:jc w:val="center"/>
        </w:trPr>
        <w:tc>
          <w:tcPr>
            <w:tcW w:w="2442" w:type="pct"/>
            <w:tcBorders>
              <w:top w:val="single" w:sz="4" w:space="0" w:color="auto"/>
              <w:bottom w:val="single" w:sz="4" w:space="0" w:color="auto"/>
            </w:tcBorders>
          </w:tcPr>
          <w:p w14:paraId="253AAA78" w14:textId="77777777" w:rsidR="00484933" w:rsidRDefault="00484933" w:rsidP="00284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saraf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tepi</w:t>
            </w:r>
            <w:proofErr w:type="spellEnd"/>
          </w:p>
        </w:tc>
        <w:tc>
          <w:tcPr>
            <w:tcW w:w="2558" w:type="pct"/>
            <w:tcBorders>
              <w:top w:val="single" w:sz="4" w:space="0" w:color="auto"/>
              <w:bottom w:val="single" w:sz="4" w:space="0" w:color="auto"/>
            </w:tcBorders>
          </w:tcPr>
          <w:p w14:paraId="56AA7B2F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otot</w:t>
            </w:r>
            <w:proofErr w:type="spellEnd"/>
          </w:p>
          <w:p w14:paraId="65449FC0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Mialgia</w:t>
            </w:r>
            <w:proofErr w:type="spellEnd"/>
          </w:p>
          <w:p w14:paraId="14B17540" w14:textId="77777777" w:rsidR="00484933" w:rsidRP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proofErr w:type="spellStart"/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i</w:t>
            </w:r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posmia</w:t>
            </w:r>
            <w:proofErr w:type="spellEnd"/>
          </w:p>
          <w:p w14:paraId="76EBCC52" w14:textId="77777777" w:rsidR="00484933" w:rsidRP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proofErr w:type="spellStart"/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Hipoageusia</w:t>
            </w:r>
            <w:proofErr w:type="spellEnd"/>
          </w:p>
          <w:p w14:paraId="4F0A6F35" w14:textId="77777777" w:rsid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Hearing loss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/</w:t>
            </w:r>
            <w:r w:rsidRPr="004849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tinnitus</w:t>
            </w:r>
          </w:p>
          <w:p w14:paraId="5E592330" w14:textId="77777777" w:rsidR="00484933" w:rsidRPr="00484933" w:rsidRDefault="00484933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Deficit sensorimotor </w:t>
            </w:r>
            <w:r w:rsidRPr="0048493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(</w:t>
            </w:r>
            <w:proofErr w:type="spellStart"/>
            <w:r w:rsidRPr="0048493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hipoestesia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, dysesthesia, tremor)</w:t>
            </w:r>
          </w:p>
        </w:tc>
      </w:tr>
    </w:tbl>
    <w:p w14:paraId="32D0F66E" w14:textId="77777777" w:rsidR="00484933" w:rsidRDefault="00484933" w:rsidP="00284A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53D0C97" w14:textId="2821C6B6" w:rsidR="00FE55A0" w:rsidRPr="00FA01B6" w:rsidRDefault="00FE55A0" w:rsidP="00284A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konsensus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sindroma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neurologis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long-COVID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sindroma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neurologis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long-COVID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tergantung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vertigo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dizziness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persisten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mencakup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simptomatik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kausatif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Antikejang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kejang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post-COVID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disesuaikan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bangkitan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spesifik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‘brain fog’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kognitif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post-COVID,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membutuhkan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suportif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fatique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meliputi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gejala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gabapentin,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carbamazepin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antidepresan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trisiklik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duloxetin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tizanidin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A94E4C6" w14:textId="77777777" w:rsidR="00284A99" w:rsidRDefault="00284A99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4AABFE3" w14:textId="69519A2F" w:rsidR="00484933" w:rsidRPr="00FE55A0" w:rsidRDefault="00484933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1F2E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Tabel 1. </w:t>
      </w:r>
      <w:proofErr w:type="spellStart"/>
      <w:r w:rsidR="002E60C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Terapi</w:t>
      </w:r>
      <w:proofErr w:type="spellEnd"/>
      <w:r w:rsidR="002E60C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="002E60C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gejala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‘long-COVID’ pada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sistem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saraf</w:t>
      </w:r>
      <w:proofErr w:type="spellEnd"/>
    </w:p>
    <w:tbl>
      <w:tblPr>
        <w:tblStyle w:val="TableGrid"/>
        <w:tblW w:w="4123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6060"/>
      </w:tblGrid>
      <w:tr w:rsidR="002E60CA" w:rsidRPr="001F2EA7" w14:paraId="4375A975" w14:textId="77777777" w:rsidTr="00284A99">
        <w:trPr>
          <w:trHeight w:val="204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53E944A0" w14:textId="6320B756" w:rsidR="002E60CA" w:rsidRPr="00073A77" w:rsidRDefault="002E60CA" w:rsidP="00284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Gejala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36FA82B8" w14:textId="772C48DB" w:rsidR="002E60CA" w:rsidRPr="00073A77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</w:p>
        </w:tc>
      </w:tr>
      <w:tr w:rsidR="002E60CA" w:rsidRPr="001F2EA7" w14:paraId="7070A2D7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6101ED3B" w14:textId="093FE893" w:rsidR="002E60CA" w:rsidRP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Dizziness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persisten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/ vertigo</w:t>
            </w:r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4C122DB7" w14:textId="27A28C4A" w:rsidR="002E60CA" w:rsidRPr="00073A77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gejala</w:t>
            </w:r>
            <w:proofErr w:type="spellEnd"/>
          </w:p>
        </w:tc>
      </w:tr>
      <w:tr w:rsidR="002E60CA" w:rsidRPr="001F2EA7" w14:paraId="70F117A5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2C23F862" w14:textId="51BBE37E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Kejang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65862BAD" w14:textId="77777777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kejang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bentukan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kejang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:</w:t>
            </w:r>
          </w:p>
          <w:p w14:paraId="1626FC06" w14:textId="77777777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Psychogenic nonepileptic seizure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(PNES):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cognitive-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behavioural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 therapy¸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tatalaksana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suportif</w:t>
            </w:r>
            <w:proofErr w:type="spellEnd"/>
          </w:p>
          <w:p w14:paraId="296ACC81" w14:textId="3F1CA712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Epilepsi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fokal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kejang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spektrum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sempit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carbamazepine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lacosamid</w:t>
            </w:r>
            <w:proofErr w:type="spellEnd"/>
          </w:p>
          <w:p w14:paraId="2F9E8F6D" w14:textId="2BDB46C0" w:rsidR="002E60CA" w:rsidRP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Epilepsi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anti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kejang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pektrum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levetiracetam,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asam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valproat</w:t>
            </w:r>
            <w:proofErr w:type="spellEnd"/>
          </w:p>
        </w:tc>
      </w:tr>
      <w:tr w:rsidR="002E60CA" w:rsidRPr="001F2EA7" w14:paraId="39710095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7B411432" w14:textId="530324E4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‘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brain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fog’</w:t>
            </w:r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0AB0BDE0" w14:textId="5A3A4A44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suportif</w:t>
            </w:r>
            <w:proofErr w:type="spellEnd"/>
          </w:p>
        </w:tc>
      </w:tr>
      <w:tr w:rsidR="002E60CA" w:rsidRPr="001F2EA7" w14:paraId="754FB2C8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3842B3FC" w14:textId="0F070654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Kelemahan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unilateral/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disfungsi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sensoris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71FF96F9" w14:textId="277B12E4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gejala</w:t>
            </w:r>
            <w:proofErr w:type="spellEnd"/>
          </w:p>
        </w:tc>
      </w:tr>
      <w:tr w:rsidR="002E60CA" w:rsidRPr="001F2EA7" w14:paraId="493451D6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5EE00B3B" w14:textId="06C424F6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otot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neuropatik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2E248489" w14:textId="77777777" w:rsidR="002E60CA" w:rsidRDefault="002E60CA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neuropatik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gabapentin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antidepresan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trisiklik</w:t>
            </w:r>
            <w:proofErr w:type="spellEnd"/>
          </w:p>
          <w:p w14:paraId="65D3DAFF" w14:textId="77777777" w:rsidR="002E60CA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neuralgik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karbamazepin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oxkarbamazepin</w:t>
            </w:r>
            <w:proofErr w:type="spellEnd"/>
          </w:p>
          <w:p w14:paraId="541BCA7F" w14:textId="67574BDB" w:rsidR="005E6A41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miofasial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muskuloskleletal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pregabalin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duloxetine, tizanidine</w:t>
            </w:r>
          </w:p>
        </w:tc>
      </w:tr>
      <w:tr w:rsidR="002E60CA" w:rsidRPr="001F2EA7" w14:paraId="319D9670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2A68838D" w14:textId="207270FE" w:rsidR="002E60CA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Nyeri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kepala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45A24124" w14:textId="1626C99D" w:rsidR="002E60CA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bentukan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:</w:t>
            </w:r>
          </w:p>
          <w:p w14:paraId="7C3451A2" w14:textId="77777777" w:rsidR="005E6A41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tension: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antidepresan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trisiklik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SNRI</w:t>
            </w:r>
          </w:p>
          <w:p w14:paraId="068B85ED" w14:textId="463EB0D4" w:rsidR="005E6A41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Migren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antidepresan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trisiklik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antikonvulsan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beta-blocker</w:t>
            </w:r>
          </w:p>
        </w:tc>
      </w:tr>
      <w:tr w:rsidR="002E60CA" w:rsidRPr="001F2EA7" w14:paraId="54A307B8" w14:textId="77777777" w:rsidTr="00284A99">
        <w:trPr>
          <w:trHeight w:val="408"/>
          <w:jc w:val="center"/>
        </w:trPr>
        <w:tc>
          <w:tcPr>
            <w:tcW w:w="1187" w:type="pct"/>
            <w:tcBorders>
              <w:top w:val="single" w:sz="4" w:space="0" w:color="auto"/>
              <w:bottom w:val="single" w:sz="4" w:space="0" w:color="auto"/>
            </w:tcBorders>
          </w:tcPr>
          <w:p w14:paraId="781D7496" w14:textId="0ED12475" w:rsidR="002E60CA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tidur</w:t>
            </w:r>
            <w:proofErr w:type="spellEnd"/>
          </w:p>
        </w:tc>
        <w:tc>
          <w:tcPr>
            <w:tcW w:w="3813" w:type="pct"/>
            <w:tcBorders>
              <w:top w:val="single" w:sz="4" w:space="0" w:color="auto"/>
              <w:bottom w:val="single" w:sz="4" w:space="0" w:color="auto"/>
            </w:tcBorders>
          </w:tcPr>
          <w:p w14:paraId="2618ECBF" w14:textId="77777777" w:rsidR="002E60CA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:</w:t>
            </w:r>
          </w:p>
          <w:p w14:paraId="45753826" w14:textId="77777777" w:rsidR="005E6A41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Gangguan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Cognitif-Behavioural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 Therapy, sleep hygiene,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pendek</w:t>
            </w:r>
            <w:proofErr w:type="spellEnd"/>
          </w:p>
          <w:p w14:paraId="1D0E9CD3" w14:textId="238258AA" w:rsidR="005E6A41" w:rsidRPr="005E6A41" w:rsidRDefault="005E6A41" w:rsidP="00284A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 xml:space="preserve">Obstructive sleep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  <w:lang w:val="en-US"/>
              </w:rPr>
              <w:t>apneu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sentral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obstruktif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: CPAP </w:t>
            </w:r>
          </w:p>
        </w:tc>
      </w:tr>
    </w:tbl>
    <w:p w14:paraId="09F53156" w14:textId="46E36A60" w:rsidR="00DB54A4" w:rsidRDefault="00DB54A4" w:rsidP="0028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4CC6E" w14:textId="24D34C7D" w:rsidR="00484933" w:rsidRDefault="00484933" w:rsidP="0028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DA948" w14:textId="5CF1F99C" w:rsidR="00DB54A4" w:rsidRDefault="00DB54A4" w:rsidP="00284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KESIMPULAN</w:t>
      </w:r>
    </w:p>
    <w:p w14:paraId="2D8B2C7F" w14:textId="77777777" w:rsidR="00284A99" w:rsidRDefault="00284A99" w:rsidP="0028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5EFEC73" w14:textId="4F36CFBD" w:rsidR="00F420E3" w:rsidRPr="00284A99" w:rsidRDefault="00B82EDA" w:rsidP="0028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‘Long-COVID’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COVID-19.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saraf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terlibat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dan juga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bermanifestasi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pada ‘long-COVID.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Meskipun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konsensus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‘long-COVID’,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sindrom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menbutuhkan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tatalaksana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komprehensif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10DD0F0" w14:textId="77777777" w:rsidR="00284A99" w:rsidRDefault="00284A99" w:rsidP="0028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4EB525" w14:textId="7A155AF4" w:rsidR="000A3B4A" w:rsidRDefault="00817CA8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0E3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04F45B1" w14:textId="77777777" w:rsidR="00284A99" w:rsidRDefault="00284A99" w:rsidP="0028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FF100" w14:textId="08723CCA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proofErr w:type="spellStart"/>
      <w:r w:rsidRPr="00284A99">
        <w:rPr>
          <w:color w:val="222222"/>
          <w:shd w:val="clear" w:color="auto" w:fill="FFFFFF"/>
        </w:rPr>
        <w:t>Lledo</w:t>
      </w:r>
      <w:proofErr w:type="spellEnd"/>
      <w:r w:rsidRPr="00284A99">
        <w:rPr>
          <w:color w:val="222222"/>
          <w:shd w:val="clear" w:color="auto" w:fill="FFFFFF"/>
        </w:rPr>
        <w:t xml:space="preserve"> GM, </w:t>
      </w:r>
      <w:proofErr w:type="spellStart"/>
      <w:r w:rsidRPr="00284A99">
        <w:rPr>
          <w:color w:val="222222"/>
          <w:shd w:val="clear" w:color="auto" w:fill="FFFFFF"/>
        </w:rPr>
        <w:t>Sellares</w:t>
      </w:r>
      <w:proofErr w:type="spellEnd"/>
      <w:r w:rsidRPr="00284A99">
        <w:rPr>
          <w:color w:val="222222"/>
          <w:shd w:val="clear" w:color="auto" w:fill="FFFFFF"/>
        </w:rPr>
        <w:t xml:space="preserve"> J, </w:t>
      </w:r>
      <w:proofErr w:type="spellStart"/>
      <w:r w:rsidRPr="00284A99">
        <w:rPr>
          <w:color w:val="222222"/>
          <w:shd w:val="clear" w:color="auto" w:fill="FFFFFF"/>
        </w:rPr>
        <w:t>Brotons</w:t>
      </w:r>
      <w:proofErr w:type="spellEnd"/>
      <w:r w:rsidRPr="00284A99">
        <w:rPr>
          <w:color w:val="222222"/>
          <w:shd w:val="clear" w:color="auto" w:fill="FFFFFF"/>
        </w:rPr>
        <w:t xml:space="preserve"> C, Sans M, Anton JMD, Blanco J, et al. Post-Acute COVID Syndrome </w:t>
      </w:r>
      <w:proofErr w:type="gramStart"/>
      <w:r w:rsidRPr="00284A99">
        <w:rPr>
          <w:color w:val="222222"/>
          <w:shd w:val="clear" w:color="auto" w:fill="FFFFFF"/>
        </w:rPr>
        <w:t>( PACS</w:t>
      </w:r>
      <w:proofErr w:type="gramEnd"/>
      <w:r w:rsidRPr="00284A99">
        <w:rPr>
          <w:color w:val="222222"/>
          <w:shd w:val="clear" w:color="auto" w:fill="FFFFFF"/>
        </w:rPr>
        <w:t xml:space="preserve"> ): Definition , Impact and Management. Vol. 19. 2021. </w:t>
      </w:r>
    </w:p>
    <w:p w14:paraId="6C2D632A" w14:textId="32444F14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r w:rsidRPr="00284A99">
        <w:rPr>
          <w:color w:val="222222"/>
          <w:shd w:val="clear" w:color="auto" w:fill="FFFFFF"/>
        </w:rPr>
        <w:t xml:space="preserve">Davis HE, Assaf GS, </w:t>
      </w:r>
      <w:proofErr w:type="spellStart"/>
      <w:r w:rsidRPr="00284A99">
        <w:rPr>
          <w:color w:val="222222"/>
          <w:shd w:val="clear" w:color="auto" w:fill="FFFFFF"/>
        </w:rPr>
        <w:t>Mccorkell</w:t>
      </w:r>
      <w:proofErr w:type="spellEnd"/>
      <w:r w:rsidRPr="00284A99">
        <w:rPr>
          <w:color w:val="222222"/>
          <w:shd w:val="clear" w:color="auto" w:fill="FFFFFF"/>
        </w:rPr>
        <w:t xml:space="preserve"> L, Wei H, Low RJ, Re Y, et al. Characterizing long COVID in an international </w:t>
      </w:r>
      <w:proofErr w:type="gramStart"/>
      <w:r w:rsidRPr="00284A99">
        <w:rPr>
          <w:color w:val="222222"/>
          <w:shd w:val="clear" w:color="auto" w:fill="FFFFFF"/>
        </w:rPr>
        <w:t>cohort :</w:t>
      </w:r>
      <w:proofErr w:type="gramEnd"/>
      <w:r w:rsidRPr="00284A99">
        <w:rPr>
          <w:color w:val="222222"/>
          <w:shd w:val="clear" w:color="auto" w:fill="FFFFFF"/>
        </w:rPr>
        <w:t xml:space="preserve"> 7 months of symptoms and their impact. </w:t>
      </w:r>
      <w:proofErr w:type="spellStart"/>
      <w:r w:rsidRPr="00284A99">
        <w:rPr>
          <w:color w:val="222222"/>
          <w:shd w:val="clear" w:color="auto" w:fill="FFFFFF"/>
        </w:rPr>
        <w:t>Eclinical</w:t>
      </w:r>
      <w:proofErr w:type="spellEnd"/>
      <w:r w:rsidRPr="00284A99">
        <w:rPr>
          <w:color w:val="222222"/>
          <w:shd w:val="clear" w:color="auto" w:fill="FFFFFF"/>
        </w:rPr>
        <w:t xml:space="preserve"> Med. </w:t>
      </w:r>
      <w:proofErr w:type="gramStart"/>
      <w:r w:rsidRPr="00284A99">
        <w:rPr>
          <w:color w:val="222222"/>
          <w:shd w:val="clear" w:color="auto" w:fill="FFFFFF"/>
        </w:rPr>
        <w:t>2021;38:1</w:t>
      </w:r>
      <w:proofErr w:type="gramEnd"/>
      <w:r w:rsidRPr="00284A99">
        <w:rPr>
          <w:color w:val="222222"/>
          <w:shd w:val="clear" w:color="auto" w:fill="FFFFFF"/>
        </w:rPr>
        <w:t xml:space="preserve">–19. </w:t>
      </w:r>
    </w:p>
    <w:p w14:paraId="24423E1E" w14:textId="0FBE71FC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r w:rsidRPr="00284A99">
        <w:rPr>
          <w:color w:val="222222"/>
          <w:shd w:val="clear" w:color="auto" w:fill="FFFFFF"/>
        </w:rPr>
        <w:t xml:space="preserve">Shehata GA, Lord KC, </w:t>
      </w:r>
      <w:proofErr w:type="spellStart"/>
      <w:r w:rsidRPr="00284A99">
        <w:rPr>
          <w:color w:val="222222"/>
          <w:shd w:val="clear" w:color="auto" w:fill="FFFFFF"/>
        </w:rPr>
        <w:t>Grudzinski</w:t>
      </w:r>
      <w:proofErr w:type="spellEnd"/>
      <w:r w:rsidRPr="00284A99">
        <w:rPr>
          <w:color w:val="222222"/>
          <w:shd w:val="clear" w:color="auto" w:fill="FFFFFF"/>
        </w:rPr>
        <w:t xml:space="preserve"> MC, </w:t>
      </w:r>
      <w:proofErr w:type="spellStart"/>
      <w:r w:rsidRPr="00284A99">
        <w:rPr>
          <w:color w:val="222222"/>
          <w:shd w:val="clear" w:color="auto" w:fill="FFFFFF"/>
        </w:rPr>
        <w:t>Elsayed</w:t>
      </w:r>
      <w:proofErr w:type="spellEnd"/>
      <w:r w:rsidRPr="00284A99">
        <w:rPr>
          <w:color w:val="222222"/>
          <w:shd w:val="clear" w:color="auto" w:fill="FFFFFF"/>
        </w:rPr>
        <w:t xml:space="preserve"> M, Abdelnaby R, </w:t>
      </w:r>
      <w:proofErr w:type="spellStart"/>
      <w:r w:rsidRPr="00284A99">
        <w:rPr>
          <w:color w:val="222222"/>
          <w:shd w:val="clear" w:color="auto" w:fill="FFFFFF"/>
        </w:rPr>
        <w:t>Elshabrawy</w:t>
      </w:r>
      <w:proofErr w:type="spellEnd"/>
      <w:r w:rsidRPr="00284A99">
        <w:rPr>
          <w:color w:val="222222"/>
          <w:shd w:val="clear" w:color="auto" w:fill="FFFFFF"/>
        </w:rPr>
        <w:t xml:space="preserve"> HA. Neurological Complications of COVID-</w:t>
      </w:r>
      <w:proofErr w:type="gramStart"/>
      <w:r w:rsidRPr="00284A99">
        <w:rPr>
          <w:color w:val="222222"/>
          <w:shd w:val="clear" w:color="auto" w:fill="FFFFFF"/>
        </w:rPr>
        <w:t>19 :</w:t>
      </w:r>
      <w:proofErr w:type="gramEnd"/>
      <w:r w:rsidRPr="00284A99">
        <w:rPr>
          <w:color w:val="222222"/>
          <w:shd w:val="clear" w:color="auto" w:fill="FFFFFF"/>
        </w:rPr>
        <w:t xml:space="preserve"> Underlying Mechanisms and Management. 2021. </w:t>
      </w:r>
    </w:p>
    <w:p w14:paraId="1C55C21E" w14:textId="49A79BCA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proofErr w:type="spellStart"/>
      <w:r w:rsidRPr="00284A99">
        <w:rPr>
          <w:color w:val="222222"/>
          <w:shd w:val="clear" w:color="auto" w:fill="FFFFFF"/>
        </w:rPr>
        <w:t>Stefanou</w:t>
      </w:r>
      <w:proofErr w:type="spellEnd"/>
      <w:r w:rsidRPr="00284A99">
        <w:rPr>
          <w:color w:val="222222"/>
          <w:shd w:val="clear" w:color="auto" w:fill="FFFFFF"/>
        </w:rPr>
        <w:t xml:space="preserve"> M </w:t>
      </w:r>
      <w:proofErr w:type="spellStart"/>
      <w:r w:rsidRPr="00284A99">
        <w:rPr>
          <w:color w:val="222222"/>
          <w:shd w:val="clear" w:color="auto" w:fill="FFFFFF"/>
        </w:rPr>
        <w:t>ioanna</w:t>
      </w:r>
      <w:proofErr w:type="spellEnd"/>
      <w:r w:rsidRPr="00284A99">
        <w:rPr>
          <w:color w:val="222222"/>
          <w:shd w:val="clear" w:color="auto" w:fill="FFFFFF"/>
        </w:rPr>
        <w:t xml:space="preserve">, </w:t>
      </w:r>
      <w:proofErr w:type="spellStart"/>
      <w:r w:rsidRPr="00284A99">
        <w:rPr>
          <w:color w:val="222222"/>
          <w:shd w:val="clear" w:color="auto" w:fill="FFFFFF"/>
        </w:rPr>
        <w:t>Palaiodimou</w:t>
      </w:r>
      <w:proofErr w:type="spellEnd"/>
      <w:r w:rsidRPr="00284A99">
        <w:rPr>
          <w:color w:val="222222"/>
          <w:shd w:val="clear" w:color="auto" w:fill="FFFFFF"/>
        </w:rPr>
        <w:t xml:space="preserve"> L, </w:t>
      </w:r>
      <w:proofErr w:type="spellStart"/>
      <w:r w:rsidRPr="00284A99">
        <w:rPr>
          <w:color w:val="222222"/>
          <w:shd w:val="clear" w:color="auto" w:fill="FFFFFF"/>
        </w:rPr>
        <w:t>Bakola</w:t>
      </w:r>
      <w:proofErr w:type="spellEnd"/>
      <w:r w:rsidRPr="00284A99">
        <w:rPr>
          <w:color w:val="222222"/>
          <w:shd w:val="clear" w:color="auto" w:fill="FFFFFF"/>
        </w:rPr>
        <w:t xml:space="preserve"> E, </w:t>
      </w:r>
      <w:proofErr w:type="spellStart"/>
      <w:r w:rsidRPr="00284A99">
        <w:rPr>
          <w:color w:val="222222"/>
          <w:shd w:val="clear" w:color="auto" w:fill="FFFFFF"/>
        </w:rPr>
        <w:t>Smyrnis</w:t>
      </w:r>
      <w:proofErr w:type="spellEnd"/>
      <w:r w:rsidRPr="00284A99">
        <w:rPr>
          <w:color w:val="222222"/>
          <w:shd w:val="clear" w:color="auto" w:fill="FFFFFF"/>
        </w:rPr>
        <w:t xml:space="preserve"> N, </w:t>
      </w:r>
      <w:proofErr w:type="spellStart"/>
      <w:r w:rsidRPr="00284A99">
        <w:rPr>
          <w:color w:val="222222"/>
          <w:shd w:val="clear" w:color="auto" w:fill="FFFFFF"/>
        </w:rPr>
        <w:t>Papadopoulou</w:t>
      </w:r>
      <w:proofErr w:type="spellEnd"/>
      <w:r w:rsidRPr="00284A99">
        <w:rPr>
          <w:color w:val="222222"/>
          <w:shd w:val="clear" w:color="auto" w:fill="FFFFFF"/>
        </w:rPr>
        <w:t xml:space="preserve"> M, </w:t>
      </w:r>
      <w:proofErr w:type="spellStart"/>
      <w:r w:rsidRPr="00284A99">
        <w:rPr>
          <w:color w:val="222222"/>
          <w:shd w:val="clear" w:color="auto" w:fill="FFFFFF"/>
        </w:rPr>
        <w:t>Paraskevas</w:t>
      </w:r>
      <w:proofErr w:type="spellEnd"/>
      <w:r w:rsidRPr="00284A99">
        <w:rPr>
          <w:color w:val="222222"/>
          <w:shd w:val="clear" w:color="auto" w:fill="FFFFFF"/>
        </w:rPr>
        <w:t xml:space="preserve"> GP, et al. Neurological manifestations of long-COVID </w:t>
      </w:r>
      <w:proofErr w:type="gramStart"/>
      <w:r w:rsidRPr="00284A99">
        <w:rPr>
          <w:color w:val="222222"/>
          <w:shd w:val="clear" w:color="auto" w:fill="FFFFFF"/>
        </w:rPr>
        <w:t>syndrome :</w:t>
      </w:r>
      <w:proofErr w:type="gramEnd"/>
      <w:r w:rsidRPr="00284A99">
        <w:rPr>
          <w:color w:val="222222"/>
          <w:shd w:val="clear" w:color="auto" w:fill="FFFFFF"/>
        </w:rPr>
        <w:t xml:space="preserve"> a narrative review. </w:t>
      </w:r>
      <w:proofErr w:type="spellStart"/>
      <w:r w:rsidRPr="00284A99">
        <w:rPr>
          <w:color w:val="222222"/>
          <w:shd w:val="clear" w:color="auto" w:fill="FFFFFF"/>
        </w:rPr>
        <w:t>Ther</w:t>
      </w:r>
      <w:proofErr w:type="spellEnd"/>
      <w:r w:rsidRPr="00284A99">
        <w:rPr>
          <w:color w:val="222222"/>
          <w:shd w:val="clear" w:color="auto" w:fill="FFFFFF"/>
        </w:rPr>
        <w:t xml:space="preserve"> Adv Chronic Dis. </w:t>
      </w:r>
      <w:proofErr w:type="gramStart"/>
      <w:r w:rsidRPr="00284A99">
        <w:rPr>
          <w:color w:val="222222"/>
          <w:shd w:val="clear" w:color="auto" w:fill="FFFFFF"/>
        </w:rPr>
        <w:t>2022;13:1</w:t>
      </w:r>
      <w:proofErr w:type="gramEnd"/>
      <w:r w:rsidRPr="00284A99">
        <w:rPr>
          <w:color w:val="222222"/>
          <w:shd w:val="clear" w:color="auto" w:fill="FFFFFF"/>
        </w:rPr>
        <w:t xml:space="preserve">–21. </w:t>
      </w:r>
    </w:p>
    <w:p w14:paraId="2104BBBD" w14:textId="2C0CFEA7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proofErr w:type="spellStart"/>
      <w:r w:rsidRPr="00284A99">
        <w:rPr>
          <w:color w:val="222222"/>
          <w:shd w:val="clear" w:color="auto" w:fill="FFFFFF"/>
        </w:rPr>
        <w:t>Maltezou</w:t>
      </w:r>
      <w:proofErr w:type="spellEnd"/>
      <w:r w:rsidRPr="00284A99">
        <w:rPr>
          <w:color w:val="222222"/>
          <w:shd w:val="clear" w:color="auto" w:fill="FFFFFF"/>
        </w:rPr>
        <w:t xml:space="preserve"> HC, Pavli A, </w:t>
      </w:r>
      <w:proofErr w:type="spellStart"/>
      <w:r w:rsidRPr="00284A99">
        <w:rPr>
          <w:color w:val="222222"/>
          <w:shd w:val="clear" w:color="auto" w:fill="FFFFFF"/>
        </w:rPr>
        <w:t>Tsakris</w:t>
      </w:r>
      <w:proofErr w:type="spellEnd"/>
      <w:r w:rsidRPr="00284A99">
        <w:rPr>
          <w:color w:val="222222"/>
          <w:shd w:val="clear" w:color="auto" w:fill="FFFFFF"/>
        </w:rPr>
        <w:t xml:space="preserve"> A. Post-COVID </w:t>
      </w:r>
      <w:proofErr w:type="gramStart"/>
      <w:r w:rsidRPr="00284A99">
        <w:rPr>
          <w:color w:val="222222"/>
          <w:shd w:val="clear" w:color="auto" w:fill="FFFFFF"/>
        </w:rPr>
        <w:t>Syndrome :</w:t>
      </w:r>
      <w:proofErr w:type="gramEnd"/>
      <w:r w:rsidRPr="00284A99">
        <w:rPr>
          <w:color w:val="222222"/>
          <w:shd w:val="clear" w:color="auto" w:fill="FFFFFF"/>
        </w:rPr>
        <w:t xml:space="preserve"> An Insight on Its Pathogenesis. Vaccines. </w:t>
      </w:r>
      <w:proofErr w:type="gramStart"/>
      <w:r w:rsidRPr="00284A99">
        <w:rPr>
          <w:color w:val="222222"/>
          <w:shd w:val="clear" w:color="auto" w:fill="FFFFFF"/>
        </w:rPr>
        <w:t>2021;9:1</w:t>
      </w:r>
      <w:proofErr w:type="gramEnd"/>
      <w:r w:rsidRPr="00284A99">
        <w:rPr>
          <w:color w:val="222222"/>
          <w:shd w:val="clear" w:color="auto" w:fill="FFFFFF"/>
        </w:rPr>
        <w:t xml:space="preserve">–12. </w:t>
      </w:r>
    </w:p>
    <w:p w14:paraId="4DA2F609" w14:textId="6DF6C235" w:rsidR="00073A77" w:rsidRPr="00284A99" w:rsidRDefault="00073A77" w:rsidP="00284A99">
      <w:pPr>
        <w:pStyle w:val="ListParagraph"/>
        <w:numPr>
          <w:ilvl w:val="0"/>
          <w:numId w:val="7"/>
        </w:numPr>
        <w:spacing w:line="360" w:lineRule="auto"/>
        <w:ind w:left="425" w:hanging="425"/>
        <w:jc w:val="both"/>
        <w:rPr>
          <w:color w:val="222222"/>
          <w:shd w:val="clear" w:color="auto" w:fill="FFFFFF"/>
        </w:rPr>
      </w:pPr>
      <w:proofErr w:type="spellStart"/>
      <w:r w:rsidRPr="00284A99">
        <w:rPr>
          <w:color w:val="222222"/>
          <w:shd w:val="clear" w:color="auto" w:fill="FFFFFF"/>
        </w:rPr>
        <w:t>Zocche</w:t>
      </w:r>
      <w:proofErr w:type="spellEnd"/>
      <w:r w:rsidRPr="00284A99">
        <w:rPr>
          <w:color w:val="222222"/>
          <w:shd w:val="clear" w:color="auto" w:fill="FFFFFF"/>
        </w:rPr>
        <w:t xml:space="preserve"> Junior G, Fonseca Siqueira L, </w:t>
      </w:r>
      <w:proofErr w:type="spellStart"/>
      <w:r w:rsidRPr="00284A99">
        <w:rPr>
          <w:color w:val="222222"/>
          <w:shd w:val="clear" w:color="auto" w:fill="FFFFFF"/>
        </w:rPr>
        <w:t>Bongiovani</w:t>
      </w:r>
      <w:proofErr w:type="spellEnd"/>
      <w:r w:rsidRPr="00284A99">
        <w:rPr>
          <w:color w:val="222222"/>
          <w:shd w:val="clear" w:color="auto" w:fill="FFFFFF"/>
        </w:rPr>
        <w:t xml:space="preserve"> Loro L, Valles Fortes F, </w:t>
      </w:r>
      <w:proofErr w:type="spellStart"/>
      <w:r w:rsidRPr="00284A99">
        <w:rPr>
          <w:color w:val="222222"/>
          <w:shd w:val="clear" w:color="auto" w:fill="FFFFFF"/>
        </w:rPr>
        <w:t>Zanirati</w:t>
      </w:r>
      <w:proofErr w:type="spellEnd"/>
      <w:r w:rsidRPr="00284A99">
        <w:rPr>
          <w:color w:val="222222"/>
          <w:shd w:val="clear" w:color="auto" w:fill="FFFFFF"/>
        </w:rPr>
        <w:t xml:space="preserve"> G, </w:t>
      </w:r>
      <w:proofErr w:type="spellStart"/>
      <w:r w:rsidRPr="00284A99">
        <w:rPr>
          <w:color w:val="222222"/>
          <w:shd w:val="clear" w:color="auto" w:fill="FFFFFF"/>
        </w:rPr>
        <w:t>Marinowic</w:t>
      </w:r>
      <w:proofErr w:type="spellEnd"/>
      <w:r w:rsidRPr="00284A99">
        <w:rPr>
          <w:color w:val="222222"/>
          <w:shd w:val="clear" w:color="auto" w:fill="FFFFFF"/>
        </w:rPr>
        <w:t xml:space="preserve"> D, et al. Neurologic and neuropsychiatric symptoms in long-COVID 19 syndrome: a systematic review. Res Sq [Internet]. 2022;1–37. Available from: https://doi.org/10.21203/rs.3.rs-1359143/v1</w:t>
      </w:r>
    </w:p>
    <w:p w14:paraId="066FE69D" w14:textId="77777777" w:rsidR="007C4E45" w:rsidRPr="000B5F31" w:rsidRDefault="007C4E45" w:rsidP="00284A99">
      <w:pPr>
        <w:spacing w:after="0" w:line="360" w:lineRule="auto"/>
        <w:ind w:left="425" w:hanging="425"/>
        <w:jc w:val="both"/>
        <w:rPr>
          <w:b/>
          <w:lang w:val="en-US"/>
        </w:rPr>
      </w:pPr>
    </w:p>
    <w:sectPr w:rsidR="007C4E45" w:rsidRPr="000B5F31" w:rsidSect="00284A99">
      <w:headerReference w:type="default" r:id="rId9"/>
      <w:footerReference w:type="default" r:id="rId10"/>
      <w:pgSz w:w="11906" w:h="16838"/>
      <w:pgMar w:top="1985" w:right="1134" w:bottom="1418" w:left="1134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04DC" w14:textId="77777777" w:rsidR="00457BC6" w:rsidRDefault="00457BC6" w:rsidP="005D4DED">
      <w:pPr>
        <w:spacing w:after="0" w:line="240" w:lineRule="auto"/>
      </w:pPr>
      <w:r>
        <w:separator/>
      </w:r>
    </w:p>
    <w:p w14:paraId="3FDF514D" w14:textId="77777777" w:rsidR="00457BC6" w:rsidRDefault="00457BC6"/>
  </w:endnote>
  <w:endnote w:type="continuationSeparator" w:id="0">
    <w:p w14:paraId="047BFD25" w14:textId="77777777" w:rsidR="00457BC6" w:rsidRDefault="00457BC6" w:rsidP="005D4DED">
      <w:pPr>
        <w:spacing w:after="0" w:line="240" w:lineRule="auto"/>
      </w:pPr>
      <w:r>
        <w:continuationSeparator/>
      </w:r>
    </w:p>
    <w:p w14:paraId="23AB2FB6" w14:textId="77777777" w:rsidR="00457BC6" w:rsidRDefault="00457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Roboto-Regular">
    <w:altName w:val="Roboto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1577"/>
      <w:docPartObj>
        <w:docPartGallery w:val="Page Numbers (Bottom of Page)"/>
        <w:docPartUnique/>
      </w:docPartObj>
    </w:sdtPr>
    <w:sdtEndPr/>
    <w:sdtContent>
      <w:p w14:paraId="0F58206D" w14:textId="77777777" w:rsidR="00412BD1" w:rsidRDefault="009A7AF1" w:rsidP="00FF4FC4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2E0B1D7" w14:textId="77777777" w:rsidR="00412BD1" w:rsidRDefault="00412BD1">
    <w:pPr>
      <w:pStyle w:val="Footer"/>
    </w:pPr>
  </w:p>
  <w:p w14:paraId="408B5152" w14:textId="77777777" w:rsidR="00123BB7" w:rsidRDefault="00123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1F55" w14:textId="77777777" w:rsidR="00457BC6" w:rsidRDefault="00457BC6" w:rsidP="005D4DED">
      <w:pPr>
        <w:spacing w:after="0" w:line="240" w:lineRule="auto"/>
      </w:pPr>
      <w:r>
        <w:separator/>
      </w:r>
    </w:p>
    <w:p w14:paraId="45ECC93C" w14:textId="77777777" w:rsidR="00457BC6" w:rsidRDefault="00457BC6"/>
  </w:footnote>
  <w:footnote w:type="continuationSeparator" w:id="0">
    <w:p w14:paraId="6E5BA04E" w14:textId="77777777" w:rsidR="00457BC6" w:rsidRDefault="00457BC6" w:rsidP="005D4DED">
      <w:pPr>
        <w:spacing w:after="0" w:line="240" w:lineRule="auto"/>
      </w:pPr>
      <w:r>
        <w:continuationSeparator/>
      </w:r>
    </w:p>
    <w:p w14:paraId="4C21C5D3" w14:textId="77777777" w:rsidR="00457BC6" w:rsidRDefault="00457B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1"/>
      <w:gridCol w:w="7887"/>
    </w:tblGrid>
    <w:tr w:rsidR="00284A99" w14:paraId="3DC884D8" w14:textId="77777777" w:rsidTr="007A0DCD">
      <w:tc>
        <w:tcPr>
          <w:tcW w:w="1129" w:type="dxa"/>
        </w:tcPr>
        <w:p w14:paraId="2807CBD8" w14:textId="77777777" w:rsidR="00284A99" w:rsidRDefault="00284A99" w:rsidP="00284A99">
          <w:pPr>
            <w:pStyle w:val="Header"/>
            <w:tabs>
              <w:tab w:val="clear" w:pos="4513"/>
            </w:tabs>
            <w:spacing w:after="360"/>
            <w:contextualSpacing/>
            <w:jc w:val="right"/>
            <w:rPr>
              <w:rFonts w:asciiTheme="majorHAnsi" w:hAnsiTheme="majorHAnsi"/>
              <w:b/>
              <w:bCs/>
              <w:i/>
              <w:iCs/>
            </w:rPr>
          </w:pPr>
          <w:r>
            <w:rPr>
              <w:rFonts w:asciiTheme="majorHAnsi" w:eastAsia="Calibri" w:hAnsiTheme="majorHAnsi" w:cs="Arial"/>
              <w:b/>
              <w:bCs/>
              <w:i/>
              <w:iCs/>
              <w:noProof/>
            </w:rPr>
            <w:drawing>
              <wp:inline distT="0" distB="0" distL="0" distR="0" wp14:anchorId="509D26D6" wp14:editId="37E7CDD0">
                <wp:extent cx="746449" cy="527977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675" cy="5451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7" w:type="dxa"/>
        </w:tcPr>
        <w:p w14:paraId="4E23E45A" w14:textId="77777777" w:rsidR="00284A99" w:rsidRPr="00F50509" w:rsidRDefault="00284A99" w:rsidP="00284A99">
          <w:pPr>
            <w:pStyle w:val="Header"/>
            <w:tabs>
              <w:tab w:val="clear" w:pos="4513"/>
              <w:tab w:val="left" w:pos="342"/>
              <w:tab w:val="left" w:pos="7670"/>
            </w:tabs>
            <w:spacing w:after="360"/>
            <w:ind w:right="-45"/>
            <w:contextualSpacing/>
            <w:jc w:val="right"/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</w:pP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Conferences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of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Medical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Sciences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Dies Natalis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Faculty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of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Medicine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Universitas Sriwijaya</w:t>
          </w:r>
        </w:p>
        <w:p w14:paraId="51FC2417" w14:textId="77777777" w:rsidR="00284A99" w:rsidRPr="00F50509" w:rsidRDefault="00284A99" w:rsidP="00284A99">
          <w:pPr>
            <w:pStyle w:val="Header"/>
            <w:tabs>
              <w:tab w:val="clear" w:pos="4513"/>
            </w:tabs>
            <w:spacing w:after="360"/>
            <w:ind w:right="-45"/>
            <w:contextualSpacing/>
            <w:jc w:val="right"/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</w:pP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Post-pandemic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Wholistic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Care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: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Holistic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Approach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of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Post-pandemic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Recovery</w:t>
          </w:r>
          <w:proofErr w:type="spellEnd"/>
        </w:p>
        <w:p w14:paraId="51016690" w14:textId="77777777" w:rsidR="00284A99" w:rsidRPr="009A73C7" w:rsidRDefault="00284A99" w:rsidP="00284A99">
          <w:pPr>
            <w:pStyle w:val="Header"/>
            <w:tabs>
              <w:tab w:val="left" w:pos="1453"/>
            </w:tabs>
            <w:spacing w:after="360"/>
            <w:ind w:left="284" w:right="-45"/>
            <w:contextualSpacing/>
            <w:jc w:val="right"/>
            <w:rPr>
              <w:rFonts w:asciiTheme="majorHAnsi" w:hAnsiTheme="majorHAnsi"/>
              <w:b/>
              <w:bCs/>
              <w:i/>
              <w:iCs/>
              <w:sz w:val="18"/>
              <w:szCs w:val="18"/>
            </w:rPr>
          </w:pP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Vol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4, </w:t>
          </w:r>
          <w:proofErr w:type="spellStart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>No</w:t>
          </w:r>
          <w:proofErr w:type="spellEnd"/>
          <w:r w:rsidRPr="00F50509">
            <w:rPr>
              <w:rFonts w:asciiTheme="majorHAnsi" w:hAnsiTheme="majorHAnsi"/>
              <w:b/>
              <w:bCs/>
              <w:i/>
              <w:iCs/>
              <w:sz w:val="20"/>
              <w:szCs w:val="20"/>
            </w:rPr>
            <w:t xml:space="preserve"> 1, Tahun 2022</w:t>
          </w:r>
          <w:r w:rsidRPr="009A73C7">
            <w:rPr>
              <w:rFonts w:asciiTheme="majorHAnsi" w:hAnsiTheme="majorHAnsi"/>
              <w:b/>
              <w:bCs/>
              <w:i/>
              <w:iCs/>
              <w:sz w:val="18"/>
              <w:szCs w:val="18"/>
            </w:rPr>
            <w:t xml:space="preserve">                                                    </w:t>
          </w:r>
        </w:p>
      </w:tc>
    </w:tr>
  </w:tbl>
  <w:p w14:paraId="41431E0B" w14:textId="77777777" w:rsidR="00123BB7" w:rsidRPr="00284A99" w:rsidRDefault="00123BB7" w:rsidP="00284A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B45"/>
    <w:multiLevelType w:val="multilevel"/>
    <w:tmpl w:val="76006666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E262F3"/>
    <w:multiLevelType w:val="hybridMultilevel"/>
    <w:tmpl w:val="947243D8"/>
    <w:lvl w:ilvl="0" w:tplc="0124FAEE">
      <w:start w:val="1"/>
      <w:numFmt w:val="decimal"/>
      <w:lvlText w:val="%1."/>
      <w:lvlJc w:val="left"/>
      <w:pPr>
        <w:ind w:left="960" w:hanging="360"/>
      </w:pPr>
      <w:rPr>
        <w:rFonts w:hint="default"/>
        <w:spacing w:val="-9"/>
        <w:w w:val="99"/>
        <w:lang w:eastAsia="en-US" w:bidi="ar-SA"/>
      </w:rPr>
    </w:lvl>
    <w:lvl w:ilvl="1" w:tplc="3ECA1732">
      <w:numFmt w:val="bullet"/>
      <w:lvlText w:val="•"/>
      <w:lvlJc w:val="left"/>
      <w:pPr>
        <w:ind w:left="1890" w:hanging="360"/>
      </w:pPr>
      <w:rPr>
        <w:rFonts w:hint="default"/>
        <w:lang w:eastAsia="en-US" w:bidi="ar-SA"/>
      </w:rPr>
    </w:lvl>
    <w:lvl w:ilvl="2" w:tplc="4B183256">
      <w:numFmt w:val="bullet"/>
      <w:lvlText w:val="•"/>
      <w:lvlJc w:val="left"/>
      <w:pPr>
        <w:ind w:left="2820" w:hanging="360"/>
      </w:pPr>
      <w:rPr>
        <w:rFonts w:hint="default"/>
        <w:lang w:eastAsia="en-US" w:bidi="ar-SA"/>
      </w:rPr>
    </w:lvl>
    <w:lvl w:ilvl="3" w:tplc="6942888E">
      <w:numFmt w:val="bullet"/>
      <w:lvlText w:val="•"/>
      <w:lvlJc w:val="left"/>
      <w:pPr>
        <w:ind w:left="3750" w:hanging="360"/>
      </w:pPr>
      <w:rPr>
        <w:rFonts w:hint="default"/>
        <w:lang w:eastAsia="en-US" w:bidi="ar-SA"/>
      </w:rPr>
    </w:lvl>
    <w:lvl w:ilvl="4" w:tplc="2556AC7C">
      <w:numFmt w:val="bullet"/>
      <w:lvlText w:val="•"/>
      <w:lvlJc w:val="left"/>
      <w:pPr>
        <w:ind w:left="4680" w:hanging="360"/>
      </w:pPr>
      <w:rPr>
        <w:rFonts w:hint="default"/>
        <w:lang w:eastAsia="en-US" w:bidi="ar-SA"/>
      </w:rPr>
    </w:lvl>
    <w:lvl w:ilvl="5" w:tplc="969EBF84">
      <w:numFmt w:val="bullet"/>
      <w:lvlText w:val="•"/>
      <w:lvlJc w:val="left"/>
      <w:pPr>
        <w:ind w:left="5610" w:hanging="360"/>
      </w:pPr>
      <w:rPr>
        <w:rFonts w:hint="default"/>
        <w:lang w:eastAsia="en-US" w:bidi="ar-SA"/>
      </w:rPr>
    </w:lvl>
    <w:lvl w:ilvl="6" w:tplc="C4AA5680">
      <w:numFmt w:val="bullet"/>
      <w:lvlText w:val="•"/>
      <w:lvlJc w:val="left"/>
      <w:pPr>
        <w:ind w:left="6540" w:hanging="360"/>
      </w:pPr>
      <w:rPr>
        <w:rFonts w:hint="default"/>
        <w:lang w:eastAsia="en-US" w:bidi="ar-SA"/>
      </w:rPr>
    </w:lvl>
    <w:lvl w:ilvl="7" w:tplc="ECE8115E">
      <w:numFmt w:val="bullet"/>
      <w:lvlText w:val="•"/>
      <w:lvlJc w:val="left"/>
      <w:pPr>
        <w:ind w:left="7470" w:hanging="360"/>
      </w:pPr>
      <w:rPr>
        <w:rFonts w:hint="default"/>
        <w:lang w:eastAsia="en-US" w:bidi="ar-SA"/>
      </w:rPr>
    </w:lvl>
    <w:lvl w:ilvl="8" w:tplc="B2C022C2">
      <w:numFmt w:val="bullet"/>
      <w:lvlText w:val="•"/>
      <w:lvlJc w:val="left"/>
      <w:pPr>
        <w:ind w:left="8400" w:hanging="360"/>
      </w:pPr>
      <w:rPr>
        <w:rFonts w:hint="default"/>
        <w:lang w:eastAsia="en-US" w:bidi="ar-SA"/>
      </w:rPr>
    </w:lvl>
  </w:abstractNum>
  <w:abstractNum w:abstractNumId="2" w15:restartNumberingAfterBreak="0">
    <w:nsid w:val="1C312E07"/>
    <w:multiLevelType w:val="hybridMultilevel"/>
    <w:tmpl w:val="0F28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197C"/>
    <w:multiLevelType w:val="hybridMultilevel"/>
    <w:tmpl w:val="DBE6B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4A15"/>
    <w:multiLevelType w:val="hybridMultilevel"/>
    <w:tmpl w:val="11A687D8"/>
    <w:lvl w:ilvl="0" w:tplc="032284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60D2"/>
    <w:multiLevelType w:val="hybridMultilevel"/>
    <w:tmpl w:val="5C20ADD8"/>
    <w:lvl w:ilvl="0" w:tplc="E328264E">
      <w:start w:val="1"/>
      <w:numFmt w:val="decimal"/>
      <w:lvlText w:val="%1."/>
      <w:lvlJc w:val="left"/>
      <w:pPr>
        <w:ind w:left="1355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eastAsia="en-US" w:bidi="ar-SA"/>
      </w:rPr>
    </w:lvl>
    <w:lvl w:ilvl="1" w:tplc="F94EB0A4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2" w:tplc="3064BE46">
      <w:numFmt w:val="bullet"/>
      <w:lvlText w:val="•"/>
      <w:lvlJc w:val="left"/>
      <w:pPr>
        <w:ind w:left="2873" w:hanging="360"/>
      </w:pPr>
      <w:rPr>
        <w:rFonts w:hint="default"/>
        <w:lang w:eastAsia="en-US" w:bidi="ar-SA"/>
      </w:rPr>
    </w:lvl>
    <w:lvl w:ilvl="3" w:tplc="2BA81342">
      <w:numFmt w:val="bullet"/>
      <w:lvlText w:val="•"/>
      <w:lvlJc w:val="left"/>
      <w:pPr>
        <w:ind w:left="3629" w:hanging="360"/>
      </w:pPr>
      <w:rPr>
        <w:rFonts w:hint="default"/>
        <w:lang w:eastAsia="en-US" w:bidi="ar-SA"/>
      </w:rPr>
    </w:lvl>
    <w:lvl w:ilvl="4" w:tplc="32066D06">
      <w:numFmt w:val="bullet"/>
      <w:lvlText w:val="•"/>
      <w:lvlJc w:val="left"/>
      <w:pPr>
        <w:ind w:left="4386" w:hanging="360"/>
      </w:pPr>
      <w:rPr>
        <w:rFonts w:hint="default"/>
        <w:lang w:eastAsia="en-US" w:bidi="ar-SA"/>
      </w:rPr>
    </w:lvl>
    <w:lvl w:ilvl="5" w:tplc="F8D6AD1E">
      <w:numFmt w:val="bullet"/>
      <w:lvlText w:val="•"/>
      <w:lvlJc w:val="left"/>
      <w:pPr>
        <w:ind w:left="5143" w:hanging="360"/>
      </w:pPr>
      <w:rPr>
        <w:rFonts w:hint="default"/>
        <w:lang w:eastAsia="en-US" w:bidi="ar-SA"/>
      </w:rPr>
    </w:lvl>
    <w:lvl w:ilvl="6" w:tplc="FCB2C922">
      <w:numFmt w:val="bullet"/>
      <w:lvlText w:val="•"/>
      <w:lvlJc w:val="left"/>
      <w:pPr>
        <w:ind w:left="5899" w:hanging="360"/>
      </w:pPr>
      <w:rPr>
        <w:rFonts w:hint="default"/>
        <w:lang w:eastAsia="en-US" w:bidi="ar-SA"/>
      </w:rPr>
    </w:lvl>
    <w:lvl w:ilvl="7" w:tplc="9C82AA96">
      <w:numFmt w:val="bullet"/>
      <w:lvlText w:val="•"/>
      <w:lvlJc w:val="left"/>
      <w:pPr>
        <w:ind w:left="6656" w:hanging="360"/>
      </w:pPr>
      <w:rPr>
        <w:rFonts w:hint="default"/>
        <w:lang w:eastAsia="en-US" w:bidi="ar-SA"/>
      </w:rPr>
    </w:lvl>
    <w:lvl w:ilvl="8" w:tplc="ECC4CDB8">
      <w:numFmt w:val="bullet"/>
      <w:lvlText w:val="•"/>
      <w:lvlJc w:val="left"/>
      <w:pPr>
        <w:ind w:left="7413" w:hanging="360"/>
      </w:pPr>
      <w:rPr>
        <w:rFonts w:hint="default"/>
        <w:lang w:eastAsia="en-US" w:bidi="ar-SA"/>
      </w:rPr>
    </w:lvl>
  </w:abstractNum>
  <w:abstractNum w:abstractNumId="6" w15:restartNumberingAfterBreak="0">
    <w:nsid w:val="7E037DE7"/>
    <w:multiLevelType w:val="hybridMultilevel"/>
    <w:tmpl w:val="4614E258"/>
    <w:lvl w:ilvl="0" w:tplc="F28CADD0">
      <w:start w:val="2"/>
      <w:numFmt w:val="decimal"/>
      <w:lvlText w:val="%1"/>
      <w:lvlJc w:val="left"/>
      <w:pPr>
        <w:ind w:left="995" w:hanging="360"/>
      </w:pPr>
      <w:rPr>
        <w:rFonts w:hint="default"/>
        <w:lang w:eastAsia="en-US" w:bidi="ar-SA"/>
      </w:rPr>
    </w:lvl>
    <w:lvl w:ilvl="1" w:tplc="B196561E">
      <w:numFmt w:val="none"/>
      <w:lvlText w:val=""/>
      <w:lvlJc w:val="left"/>
      <w:pPr>
        <w:tabs>
          <w:tab w:val="num" w:pos="360"/>
        </w:tabs>
      </w:pPr>
    </w:lvl>
    <w:lvl w:ilvl="2" w:tplc="2E20FD22">
      <w:numFmt w:val="none"/>
      <w:lvlText w:val=""/>
      <w:lvlJc w:val="left"/>
      <w:pPr>
        <w:tabs>
          <w:tab w:val="num" w:pos="360"/>
        </w:tabs>
      </w:pPr>
    </w:lvl>
    <w:lvl w:ilvl="3" w:tplc="BB509778">
      <w:start w:val="1"/>
      <w:numFmt w:val="lowerLetter"/>
      <w:lvlText w:val="%4."/>
      <w:lvlJc w:val="left"/>
      <w:pPr>
        <w:ind w:left="135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4" w:tplc="7634125E">
      <w:start w:val="1"/>
      <w:numFmt w:val="decimal"/>
      <w:lvlText w:val="%5)"/>
      <w:lvlJc w:val="left"/>
      <w:pPr>
        <w:ind w:left="171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5" w:tplc="10F83B74">
      <w:numFmt w:val="bullet"/>
      <w:lvlText w:val="•"/>
      <w:lvlJc w:val="left"/>
      <w:pPr>
        <w:ind w:left="1822" w:hanging="360"/>
      </w:pPr>
      <w:rPr>
        <w:rFonts w:hint="default"/>
        <w:lang w:eastAsia="en-US" w:bidi="ar-SA"/>
      </w:rPr>
    </w:lvl>
    <w:lvl w:ilvl="6" w:tplc="26388F50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7" w:tplc="9C76C0E8">
      <w:numFmt w:val="bullet"/>
      <w:lvlText w:val="•"/>
      <w:lvlJc w:val="left"/>
      <w:pPr>
        <w:ind w:left="2026" w:hanging="360"/>
      </w:pPr>
      <w:rPr>
        <w:rFonts w:hint="default"/>
        <w:lang w:eastAsia="en-US" w:bidi="ar-SA"/>
      </w:rPr>
    </w:lvl>
    <w:lvl w:ilvl="8" w:tplc="381259D0">
      <w:numFmt w:val="bullet"/>
      <w:lvlText w:val="•"/>
      <w:lvlJc w:val="left"/>
      <w:pPr>
        <w:ind w:left="2128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4A"/>
    <w:rsid w:val="000032D9"/>
    <w:rsid w:val="000416DF"/>
    <w:rsid w:val="00052526"/>
    <w:rsid w:val="00073A77"/>
    <w:rsid w:val="00092940"/>
    <w:rsid w:val="000A3B4A"/>
    <w:rsid w:val="000B0F0B"/>
    <w:rsid w:val="000B5F31"/>
    <w:rsid w:val="00123BB7"/>
    <w:rsid w:val="00280926"/>
    <w:rsid w:val="00284A99"/>
    <w:rsid w:val="002E60CA"/>
    <w:rsid w:val="00382AD6"/>
    <w:rsid w:val="003D21A1"/>
    <w:rsid w:val="00412BD1"/>
    <w:rsid w:val="00457BC6"/>
    <w:rsid w:val="00484933"/>
    <w:rsid w:val="00492064"/>
    <w:rsid w:val="005B0974"/>
    <w:rsid w:val="005B7F52"/>
    <w:rsid w:val="005D4DED"/>
    <w:rsid w:val="005E6A41"/>
    <w:rsid w:val="005F395C"/>
    <w:rsid w:val="00612618"/>
    <w:rsid w:val="0063367B"/>
    <w:rsid w:val="0066071F"/>
    <w:rsid w:val="006B0E34"/>
    <w:rsid w:val="007917B5"/>
    <w:rsid w:val="007C4E45"/>
    <w:rsid w:val="007F03FF"/>
    <w:rsid w:val="00817CA8"/>
    <w:rsid w:val="0089667B"/>
    <w:rsid w:val="00897F90"/>
    <w:rsid w:val="008F2488"/>
    <w:rsid w:val="009A7AF1"/>
    <w:rsid w:val="00B82EDA"/>
    <w:rsid w:val="00C63790"/>
    <w:rsid w:val="00CB4F79"/>
    <w:rsid w:val="00D663B2"/>
    <w:rsid w:val="00DB54A4"/>
    <w:rsid w:val="00DF4173"/>
    <w:rsid w:val="00DF7E73"/>
    <w:rsid w:val="00EB28C8"/>
    <w:rsid w:val="00F420E3"/>
    <w:rsid w:val="00F56B3C"/>
    <w:rsid w:val="00F95EB2"/>
    <w:rsid w:val="00FB4B44"/>
    <w:rsid w:val="00FE55A0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DCD2B"/>
  <w15:docId w15:val="{40EDC797-495C-A042-980B-3427C135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26"/>
  </w:style>
  <w:style w:type="paragraph" w:styleId="Heading1">
    <w:name w:val="heading 1"/>
    <w:basedOn w:val="Normal"/>
    <w:link w:val="Heading1Char"/>
    <w:uiPriority w:val="1"/>
    <w:qFormat/>
    <w:rsid w:val="00F420E3"/>
    <w:pPr>
      <w:widowControl w:val="0"/>
      <w:autoSpaceDE w:val="0"/>
      <w:autoSpaceDN w:val="0"/>
      <w:spacing w:after="0" w:line="240" w:lineRule="auto"/>
      <w:ind w:left="1355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4DE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1"/>
    <w:qFormat/>
    <w:rsid w:val="005D4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5D4D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4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DED"/>
  </w:style>
  <w:style w:type="paragraph" w:styleId="Footer">
    <w:name w:val="footer"/>
    <w:basedOn w:val="Normal"/>
    <w:link w:val="FooterChar"/>
    <w:uiPriority w:val="99"/>
    <w:unhideWhenUsed/>
    <w:rsid w:val="005D4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ED"/>
  </w:style>
  <w:style w:type="paragraph" w:styleId="BodyText">
    <w:name w:val="Body Text"/>
    <w:basedOn w:val="Normal"/>
    <w:link w:val="BodyTextChar"/>
    <w:rsid w:val="005F39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F39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5C"/>
    <w:rPr>
      <w:rFonts w:ascii="Tahoma" w:hAnsi="Tahoma" w:cs="Tahoma"/>
      <w:sz w:val="16"/>
      <w:szCs w:val="16"/>
    </w:rPr>
  </w:style>
  <w:style w:type="character" w:customStyle="1" w:styleId="mixed-citation">
    <w:name w:val="mixed-citation"/>
    <w:basedOn w:val="DefaultParagraphFont"/>
    <w:rsid w:val="00412BD1"/>
  </w:style>
  <w:style w:type="character" w:customStyle="1" w:styleId="ref-title">
    <w:name w:val="ref-title"/>
    <w:basedOn w:val="DefaultParagraphFont"/>
    <w:rsid w:val="00412BD1"/>
  </w:style>
  <w:style w:type="character" w:customStyle="1" w:styleId="ref-journal">
    <w:name w:val="ref-journal"/>
    <w:basedOn w:val="DefaultParagraphFont"/>
    <w:rsid w:val="00412BD1"/>
  </w:style>
  <w:style w:type="character" w:customStyle="1" w:styleId="ref-vol">
    <w:name w:val="ref-vol"/>
    <w:basedOn w:val="DefaultParagraphFont"/>
    <w:rsid w:val="00412BD1"/>
  </w:style>
  <w:style w:type="character" w:styleId="Hyperlink">
    <w:name w:val="Hyperlink"/>
    <w:basedOn w:val="DefaultParagraphFont"/>
    <w:uiPriority w:val="99"/>
    <w:semiHidden/>
    <w:unhideWhenUsed/>
    <w:rsid w:val="00412BD1"/>
    <w:rPr>
      <w:color w:val="0000FF"/>
      <w:u w:val="single"/>
    </w:rPr>
  </w:style>
  <w:style w:type="character" w:customStyle="1" w:styleId="nowrap">
    <w:name w:val="nowrap"/>
    <w:basedOn w:val="DefaultParagraphFont"/>
    <w:rsid w:val="00412BD1"/>
  </w:style>
  <w:style w:type="paragraph" w:customStyle="1" w:styleId="TableParagraph">
    <w:name w:val="Table Paragraph"/>
    <w:basedOn w:val="Normal"/>
    <w:uiPriority w:val="1"/>
    <w:qFormat/>
    <w:rsid w:val="00897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MediumList2-Accent1">
    <w:name w:val="Medium List 2 Accent 1"/>
    <w:basedOn w:val="TableNormal"/>
    <w:uiPriority w:val="66"/>
    <w:rsid w:val="00897F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897F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420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dyChar">
    <w:name w:val="Body Char"/>
    <w:link w:val="BodyCharChar"/>
    <w:rsid w:val="00DB54A4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rsid w:val="00DB54A4"/>
    <w:rPr>
      <w:rFonts w:ascii="Times" w:eastAsia="Times New Roman" w:hAnsi="Times" w:cs="Times New Roman"/>
      <w:color w:val="000000"/>
      <w:lang w:val="en-GB"/>
    </w:rPr>
  </w:style>
  <w:style w:type="paragraph" w:customStyle="1" w:styleId="FigureCaption">
    <w:name w:val="FigureCaption"/>
    <w:rsid w:val="00DB54A4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954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41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A77A-04DC-47CE-8DE0-0ED2C70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3917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Rulan Adnindya</cp:lastModifiedBy>
  <cp:revision>2</cp:revision>
  <dcterms:created xsi:type="dcterms:W3CDTF">2022-12-19T16:40:00Z</dcterms:created>
  <dcterms:modified xsi:type="dcterms:W3CDTF">2022-12-19T16:40:00Z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f390aae9-8769-375e-9a35-11566f188621</vt:lpwstr>
  </property>
  <property fmtid="{D5CDD505-2E9C-101B-9397-08002B2CF9AE}" pid="4" name="Mendeley Citation Style_1">
    <vt:lpwstr>http://www.zotero.org/styles/vancouver-superscript</vt:lpwstr>
  </property>
</Properties>
</file>